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425" w:rsidRPr="007038AB" w:rsidRDefault="0017712F" w:rsidP="00537425">
      <w:pPr>
        <w:jc w:val="center"/>
        <w:rPr>
          <w:b/>
          <w:bCs/>
          <w:sz w:val="18"/>
          <w:szCs w:val="18"/>
        </w:rPr>
      </w:pPr>
      <w:r w:rsidRPr="007038AB">
        <w:rPr>
          <w:b/>
          <w:bCs/>
          <w:sz w:val="18"/>
          <w:szCs w:val="18"/>
        </w:rPr>
        <w:t>Maladies non transmissibles</w:t>
      </w:r>
    </w:p>
    <w:p w:rsidR="0017712F" w:rsidRPr="007038AB" w:rsidRDefault="0017712F">
      <w:pPr>
        <w:rPr>
          <w:b/>
          <w:bCs/>
          <w:sz w:val="18"/>
          <w:szCs w:val="18"/>
          <w:u w:val="double"/>
        </w:rPr>
      </w:pPr>
      <w:r w:rsidRPr="007038AB">
        <w:rPr>
          <w:b/>
          <w:bCs/>
          <w:sz w:val="18"/>
          <w:szCs w:val="18"/>
          <w:u w:val="double"/>
        </w:rPr>
        <w:t xml:space="preserve">Caractéristiques : </w:t>
      </w:r>
    </w:p>
    <w:p w:rsidR="0017712F" w:rsidRPr="007038AB" w:rsidRDefault="0017712F" w:rsidP="0017712F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sz w:val="18"/>
          <w:szCs w:val="18"/>
        </w:rPr>
        <w:t>elles ne sont pas causées par un agent microbien</w:t>
      </w:r>
    </w:p>
    <w:p w:rsidR="00537425" w:rsidRPr="007038AB" w:rsidRDefault="00537425" w:rsidP="0017712F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sz w:val="18"/>
          <w:szCs w:val="18"/>
          <w:highlight w:val="cyan"/>
        </w:rPr>
        <w:t>Sont caractérisé par des FDR </w:t>
      </w:r>
    </w:p>
    <w:p w:rsidR="0017712F" w:rsidRPr="007038AB" w:rsidRDefault="00537425" w:rsidP="0017712F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sz w:val="18"/>
          <w:szCs w:val="18"/>
          <w:highlight w:val="cyan"/>
        </w:rPr>
        <w:t>Ces FDR</w:t>
      </w:r>
      <w:r w:rsidR="0017712F" w:rsidRPr="007038AB">
        <w:rPr>
          <w:sz w:val="18"/>
          <w:szCs w:val="18"/>
          <w:highlight w:val="cyan"/>
        </w:rPr>
        <w:t xml:space="preserve"> peu</w:t>
      </w:r>
      <w:r w:rsidRPr="007038AB">
        <w:rPr>
          <w:sz w:val="18"/>
          <w:szCs w:val="18"/>
          <w:highlight w:val="cyan"/>
        </w:rPr>
        <w:t>ven</w:t>
      </w:r>
      <w:r w:rsidR="0017712F" w:rsidRPr="007038AB">
        <w:rPr>
          <w:sz w:val="18"/>
          <w:szCs w:val="18"/>
          <w:highlight w:val="cyan"/>
        </w:rPr>
        <w:t xml:space="preserve">t être </w:t>
      </w:r>
      <w:r w:rsidRPr="007038AB">
        <w:rPr>
          <w:sz w:val="18"/>
          <w:szCs w:val="18"/>
          <w:highlight w:val="cyan"/>
        </w:rPr>
        <w:t>chimiques (alcool)</w:t>
      </w:r>
      <w:r w:rsidR="0017712F" w:rsidRPr="007038AB">
        <w:rPr>
          <w:sz w:val="18"/>
          <w:szCs w:val="18"/>
          <w:highlight w:val="cyan"/>
        </w:rPr>
        <w:t>, physique</w:t>
      </w:r>
      <w:r w:rsidRPr="007038AB">
        <w:rPr>
          <w:sz w:val="18"/>
          <w:szCs w:val="18"/>
          <w:highlight w:val="cyan"/>
        </w:rPr>
        <w:t xml:space="preserve"> (radiation ionisante)</w:t>
      </w:r>
      <w:r w:rsidR="0017712F" w:rsidRPr="007038AB">
        <w:rPr>
          <w:sz w:val="18"/>
          <w:szCs w:val="18"/>
          <w:highlight w:val="cyan"/>
        </w:rPr>
        <w:t>, social (maladies mentales)</w:t>
      </w:r>
    </w:p>
    <w:p w:rsidR="0017712F" w:rsidRPr="007038AB" w:rsidRDefault="0017712F" w:rsidP="0017712F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sz w:val="18"/>
          <w:szCs w:val="18"/>
          <w:highlight w:val="yellow"/>
        </w:rPr>
        <w:t>la période d’incubation est en général longue</w:t>
      </w:r>
      <w:r w:rsidRPr="007038AB">
        <w:rPr>
          <w:sz w:val="18"/>
          <w:szCs w:val="18"/>
        </w:rPr>
        <w:t> : période d’incubation médiane</w:t>
      </w:r>
    </w:p>
    <w:p w:rsidR="0017712F" w:rsidRPr="007038AB" w:rsidRDefault="005C6380" w:rsidP="0017712F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sz w:val="18"/>
          <w:szCs w:val="18"/>
        </w:rPr>
        <w:t>I</w:t>
      </w:r>
      <w:r w:rsidR="0017712F" w:rsidRPr="007038AB">
        <w:rPr>
          <w:sz w:val="18"/>
          <w:szCs w:val="18"/>
        </w:rPr>
        <w:t>l peut exister une multitude d’expositions et/ou de facteurs étiologiques</w:t>
      </w:r>
    </w:p>
    <w:p w:rsidR="0017712F" w:rsidRPr="007038AB" w:rsidRDefault="0017712F" w:rsidP="0017712F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sz w:val="18"/>
          <w:szCs w:val="18"/>
          <w:highlight w:val="yellow"/>
        </w:rPr>
        <w:t>les manifestations cliniques des MNT sont précédé</w:t>
      </w:r>
      <w:r w:rsidR="004A4FC9" w:rsidRPr="007038AB">
        <w:rPr>
          <w:sz w:val="18"/>
          <w:szCs w:val="18"/>
          <w:highlight w:val="yellow"/>
        </w:rPr>
        <w:t>e</w:t>
      </w:r>
      <w:r w:rsidRPr="007038AB">
        <w:rPr>
          <w:sz w:val="18"/>
          <w:szCs w:val="18"/>
          <w:highlight w:val="yellow"/>
        </w:rPr>
        <w:t>s d’une période asymptomatique</w:t>
      </w:r>
      <w:r w:rsidRPr="007038AB">
        <w:rPr>
          <w:sz w:val="18"/>
          <w:szCs w:val="18"/>
        </w:rPr>
        <w:t xml:space="preserve"> très importante sur le plan épidémiologique</w:t>
      </w:r>
    </w:p>
    <w:p w:rsidR="004A4FC9" w:rsidRPr="007038AB" w:rsidRDefault="00A5760B" w:rsidP="004A4FC9">
      <w:pPr>
        <w:rPr>
          <w:b/>
          <w:bCs/>
          <w:sz w:val="18"/>
          <w:szCs w:val="18"/>
          <w:u w:val="double"/>
        </w:rPr>
      </w:pPr>
      <w:proofErr w:type="gramStart"/>
      <w:r w:rsidRPr="007038AB">
        <w:rPr>
          <w:b/>
          <w:bCs/>
          <w:sz w:val="18"/>
          <w:szCs w:val="18"/>
          <w:u w:val="double"/>
        </w:rPr>
        <w:t>les</w:t>
      </w:r>
      <w:proofErr w:type="gramEnd"/>
      <w:r w:rsidRPr="007038AB">
        <w:rPr>
          <w:b/>
          <w:bCs/>
          <w:sz w:val="18"/>
          <w:szCs w:val="18"/>
          <w:u w:val="double"/>
        </w:rPr>
        <w:t xml:space="preserve"> différents niveau de prévention des MNT </w:t>
      </w:r>
      <w:r w:rsidR="0079638D" w:rsidRPr="007038AB">
        <w:rPr>
          <w:b/>
          <w:bCs/>
          <w:sz w:val="18"/>
          <w:szCs w:val="18"/>
          <w:u w:val="double"/>
        </w:rPr>
        <w:t>:</w:t>
      </w:r>
      <w:r w:rsidR="0079638D" w:rsidRPr="0079638D">
        <w:rPr>
          <w:b/>
          <w:bCs/>
          <w:sz w:val="18"/>
          <w:szCs w:val="18"/>
        </w:rPr>
        <w:t xml:space="preserve"> +++++++</w:t>
      </w:r>
    </w:p>
    <w:p w:rsidR="004A4FC9" w:rsidRPr="007038AB" w:rsidRDefault="004A4FC9" w:rsidP="004A4FC9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b/>
          <w:bCs/>
          <w:sz w:val="18"/>
          <w:szCs w:val="18"/>
        </w:rPr>
        <w:t>prévention primaire</w:t>
      </w:r>
      <w:r w:rsidRPr="007038AB">
        <w:rPr>
          <w:sz w:val="18"/>
          <w:szCs w:val="18"/>
        </w:rPr>
        <w:t xml:space="preserve"> : tout acte destiné à </w:t>
      </w:r>
      <w:r w:rsidRPr="007038AB">
        <w:rPr>
          <w:sz w:val="18"/>
          <w:szCs w:val="18"/>
          <w:highlight w:val="cyan"/>
        </w:rPr>
        <w:t>↘ l’incidence</w:t>
      </w:r>
      <w:r w:rsidRPr="007038AB">
        <w:rPr>
          <w:sz w:val="18"/>
          <w:szCs w:val="18"/>
        </w:rPr>
        <w:t xml:space="preserve"> d’une maladie dans une pop en </w:t>
      </w:r>
      <w:r w:rsidRPr="007038AB">
        <w:rPr>
          <w:sz w:val="18"/>
          <w:szCs w:val="18"/>
          <w:highlight w:val="cyan"/>
        </w:rPr>
        <w:t>réduisant le risque d’apparition</w:t>
      </w:r>
      <w:r w:rsidRPr="007038AB">
        <w:rPr>
          <w:sz w:val="18"/>
          <w:szCs w:val="18"/>
        </w:rPr>
        <w:t xml:space="preserve"> de nouveaux cas </w:t>
      </w:r>
      <w:r w:rsidR="00181D45" w:rsidRPr="007038AB">
        <w:rPr>
          <w:sz w:val="18"/>
          <w:szCs w:val="18"/>
        </w:rPr>
        <w:t>(lutte contre les FDR)</w:t>
      </w:r>
    </w:p>
    <w:p w:rsidR="00181D45" w:rsidRPr="007038AB" w:rsidRDefault="004A4FC9" w:rsidP="00181D4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7038AB">
        <w:rPr>
          <w:sz w:val="18"/>
          <w:szCs w:val="18"/>
        </w:rPr>
        <w:t>ex : pour le diabète : éviter les mariages consanguins</w:t>
      </w:r>
      <w:r w:rsidR="00181D45" w:rsidRPr="007038AB">
        <w:rPr>
          <w:sz w:val="18"/>
          <w:szCs w:val="18"/>
        </w:rPr>
        <w:t xml:space="preserve"> </w:t>
      </w:r>
    </w:p>
    <w:p w:rsidR="004A4FC9" w:rsidRPr="007038AB" w:rsidRDefault="004A4FC9" w:rsidP="004A4FC9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b/>
          <w:bCs/>
          <w:sz w:val="18"/>
          <w:szCs w:val="18"/>
        </w:rPr>
        <w:t>prévention secondaire</w:t>
      </w:r>
      <w:r w:rsidRPr="007038AB">
        <w:rPr>
          <w:sz w:val="18"/>
          <w:szCs w:val="18"/>
        </w:rPr>
        <w:t xml:space="preserve"> : tout acte destiné à ↘ </w:t>
      </w:r>
      <w:r w:rsidRPr="007038AB">
        <w:rPr>
          <w:sz w:val="18"/>
          <w:szCs w:val="18"/>
          <w:highlight w:val="cyan"/>
        </w:rPr>
        <w:t>la prévalence</w:t>
      </w:r>
      <w:r w:rsidRPr="007038AB">
        <w:rPr>
          <w:sz w:val="18"/>
          <w:szCs w:val="18"/>
        </w:rPr>
        <w:t xml:space="preserve"> d’une maladie dans une pop en en réduisant l’évolution et la durée </w:t>
      </w:r>
    </w:p>
    <w:p w:rsidR="00A06404" w:rsidRPr="007038AB" w:rsidRDefault="00A06404" w:rsidP="00A06404">
      <w:pPr>
        <w:pStyle w:val="Paragraphedeliste"/>
        <w:numPr>
          <w:ilvl w:val="0"/>
          <w:numId w:val="4"/>
        </w:numPr>
        <w:rPr>
          <w:sz w:val="18"/>
          <w:szCs w:val="18"/>
        </w:rPr>
      </w:pPr>
      <w:r w:rsidRPr="007038AB">
        <w:rPr>
          <w:sz w:val="18"/>
          <w:szCs w:val="18"/>
        </w:rPr>
        <w:t xml:space="preserve">ex : pour le diabète : dépister les états pré-diabétiques </w:t>
      </w:r>
    </w:p>
    <w:p w:rsidR="004A4FC9" w:rsidRPr="007038AB" w:rsidRDefault="004A4FC9" w:rsidP="004A4FC9">
      <w:pPr>
        <w:pStyle w:val="Paragraphedeliste"/>
        <w:numPr>
          <w:ilvl w:val="0"/>
          <w:numId w:val="1"/>
        </w:numPr>
        <w:rPr>
          <w:sz w:val="18"/>
          <w:szCs w:val="18"/>
        </w:rPr>
      </w:pPr>
      <w:r w:rsidRPr="007038AB">
        <w:rPr>
          <w:b/>
          <w:bCs/>
          <w:sz w:val="18"/>
          <w:szCs w:val="18"/>
        </w:rPr>
        <w:t>prévention tertiaire </w:t>
      </w:r>
      <w:r w:rsidRPr="007038AB">
        <w:rPr>
          <w:sz w:val="18"/>
          <w:szCs w:val="18"/>
        </w:rPr>
        <w:t>: tout acte destiné à ↘ la prévalence des incapacités dans une pop en en réduisant au minimum les invalidités fonctionnelles consécutives à la maladie</w:t>
      </w:r>
    </w:p>
    <w:p w:rsidR="005E021A" w:rsidRPr="007038AB" w:rsidRDefault="00002E2F" w:rsidP="007038AB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7038AB">
        <w:rPr>
          <w:sz w:val="18"/>
          <w:szCs w:val="18"/>
        </w:rPr>
        <w:t>ex : pour le diabète : équilibrer le diabétique pour éviter les complications</w:t>
      </w:r>
    </w:p>
    <w:p w:rsidR="005E021A" w:rsidRPr="007038AB" w:rsidRDefault="005E021A" w:rsidP="005E021A">
      <w:pPr>
        <w:rPr>
          <w:b/>
          <w:bCs/>
          <w:sz w:val="18"/>
          <w:szCs w:val="18"/>
          <w:u w:val="double"/>
        </w:rPr>
      </w:pPr>
      <w:r w:rsidRPr="007038AB">
        <w:rPr>
          <w:b/>
          <w:bCs/>
          <w:sz w:val="18"/>
          <w:szCs w:val="18"/>
          <w:u w:val="double"/>
        </w:rPr>
        <w:t xml:space="preserve">Etapes de contrôle </w:t>
      </w:r>
    </w:p>
    <w:p w:rsidR="005E021A" w:rsidRPr="007038AB" w:rsidRDefault="005E021A" w:rsidP="005E021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7038AB">
        <w:rPr>
          <w:sz w:val="18"/>
          <w:szCs w:val="18"/>
        </w:rPr>
        <w:t>prédisposition</w:t>
      </w:r>
      <w:r w:rsidR="005C6380" w:rsidRPr="007038AB">
        <w:rPr>
          <w:sz w:val="18"/>
          <w:szCs w:val="18"/>
        </w:rPr>
        <w:t xml:space="preserve"> = exposition au risque</w:t>
      </w:r>
      <w:r w:rsidRPr="007038AB">
        <w:rPr>
          <w:sz w:val="18"/>
          <w:szCs w:val="18"/>
        </w:rPr>
        <w:t xml:space="preserve"> =&gt; prévention primaire</w:t>
      </w:r>
      <w:r w:rsidR="007411C9" w:rsidRPr="007038AB">
        <w:rPr>
          <w:sz w:val="18"/>
          <w:szCs w:val="18"/>
        </w:rPr>
        <w:t xml:space="preserve"> (diminution de l’incidence)</w:t>
      </w:r>
    </w:p>
    <w:p w:rsidR="005E021A" w:rsidRPr="007038AB" w:rsidRDefault="0079638D" w:rsidP="005E021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noProof/>
          <w:sz w:val="18"/>
          <w:szCs w:val="18"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216.95pt;margin-top:10.9pt;width:7.15pt;height:40.05pt;z-index:251658240"/>
        </w:pict>
      </w:r>
      <w:r w:rsidR="005E021A" w:rsidRPr="007038AB">
        <w:rPr>
          <w:sz w:val="18"/>
          <w:szCs w:val="18"/>
        </w:rPr>
        <w:t>pré-symptomatique =&gt; prévention primaire</w:t>
      </w:r>
      <w:r w:rsidR="007411C9" w:rsidRPr="007038AB">
        <w:rPr>
          <w:sz w:val="18"/>
          <w:szCs w:val="18"/>
        </w:rPr>
        <w:t xml:space="preserve"> (diminution prévalence) </w:t>
      </w:r>
    </w:p>
    <w:p w:rsidR="005E021A" w:rsidRPr="007038AB" w:rsidRDefault="005E021A" w:rsidP="005E021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7038AB">
        <w:rPr>
          <w:sz w:val="18"/>
          <w:szCs w:val="18"/>
        </w:rPr>
        <w:t>maladie clin</w:t>
      </w:r>
      <w:r w:rsidR="006C1E76" w:rsidRPr="007038AB">
        <w:rPr>
          <w:sz w:val="18"/>
          <w:szCs w:val="18"/>
        </w:rPr>
        <w:t>i</w:t>
      </w:r>
      <w:r w:rsidRPr="007038AB">
        <w:rPr>
          <w:sz w:val="18"/>
          <w:szCs w:val="18"/>
        </w:rPr>
        <w:t>que =&gt; prévention secondaire</w:t>
      </w:r>
    </w:p>
    <w:p w:rsidR="007411C9" w:rsidRPr="007038AB" w:rsidRDefault="007411C9" w:rsidP="007411C9">
      <w:pPr>
        <w:pStyle w:val="Paragraphedeliste"/>
        <w:rPr>
          <w:sz w:val="18"/>
          <w:szCs w:val="18"/>
        </w:rPr>
      </w:pPr>
      <w:r w:rsidRPr="007038AB">
        <w:rPr>
          <w:sz w:val="18"/>
          <w:szCs w:val="18"/>
        </w:rPr>
        <w:t xml:space="preserve">                                                                                                (</w:t>
      </w:r>
      <w:r w:rsidR="00DE35A7" w:rsidRPr="007038AB">
        <w:rPr>
          <w:sz w:val="18"/>
          <w:szCs w:val="18"/>
        </w:rPr>
        <w:t>Diminution</w:t>
      </w:r>
      <w:r w:rsidRPr="007038AB">
        <w:rPr>
          <w:sz w:val="18"/>
          <w:szCs w:val="18"/>
        </w:rPr>
        <w:t xml:space="preserve"> prévalence)</w:t>
      </w:r>
    </w:p>
    <w:p w:rsidR="005E021A" w:rsidRPr="007038AB" w:rsidRDefault="005E021A" w:rsidP="005E021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7038AB">
        <w:rPr>
          <w:sz w:val="18"/>
          <w:szCs w:val="18"/>
        </w:rPr>
        <w:t>handicape</w:t>
      </w:r>
      <w:r w:rsidR="005C6380" w:rsidRPr="007038AB">
        <w:rPr>
          <w:sz w:val="18"/>
          <w:szCs w:val="18"/>
        </w:rPr>
        <w:t xml:space="preserve"> = complication</w:t>
      </w:r>
      <w:r w:rsidRPr="007038AB">
        <w:rPr>
          <w:sz w:val="18"/>
          <w:szCs w:val="18"/>
        </w:rPr>
        <w:t xml:space="preserve"> =&gt; prévention tertiaire</w:t>
      </w:r>
    </w:p>
    <w:p w:rsidR="005E021A" w:rsidRPr="007038AB" w:rsidRDefault="00DE35A7" w:rsidP="005E021A">
      <w:pPr>
        <w:rPr>
          <w:b/>
          <w:bCs/>
          <w:sz w:val="18"/>
          <w:szCs w:val="18"/>
          <w:u w:val="double"/>
        </w:rPr>
      </w:pPr>
      <w:r w:rsidRPr="007038AB">
        <w:rPr>
          <w:b/>
          <w:bCs/>
          <w:sz w:val="18"/>
          <w:szCs w:val="18"/>
          <w:u w:val="double"/>
        </w:rPr>
        <w:t>Comparaison</w:t>
      </w:r>
      <w:r w:rsidR="00A06404" w:rsidRPr="007038AB">
        <w:rPr>
          <w:b/>
          <w:bCs/>
          <w:sz w:val="18"/>
          <w:szCs w:val="18"/>
          <w:u w:val="double"/>
        </w:rPr>
        <w:t xml:space="preserve"> MNT/MT :</w:t>
      </w:r>
    </w:p>
    <w:tbl>
      <w:tblPr>
        <w:tblStyle w:val="Grilledutableau"/>
        <w:tblW w:w="10773" w:type="dxa"/>
        <w:tblInd w:w="-459" w:type="dxa"/>
        <w:tblLook w:val="04A0"/>
      </w:tblPr>
      <w:tblGrid>
        <w:gridCol w:w="3119"/>
        <w:gridCol w:w="4142"/>
        <w:gridCol w:w="3512"/>
      </w:tblGrid>
      <w:tr w:rsidR="00C1724D" w:rsidRPr="007038AB" w:rsidTr="00C1724D">
        <w:tc>
          <w:tcPr>
            <w:tcW w:w="3119" w:type="dxa"/>
          </w:tcPr>
          <w:p w:rsidR="00C1724D" w:rsidRPr="007038AB" w:rsidRDefault="00C1724D" w:rsidP="005E021A">
            <w:pPr>
              <w:rPr>
                <w:sz w:val="18"/>
                <w:szCs w:val="18"/>
              </w:rPr>
            </w:pPr>
          </w:p>
        </w:tc>
        <w:tc>
          <w:tcPr>
            <w:tcW w:w="4142" w:type="dxa"/>
          </w:tcPr>
          <w:p w:rsidR="00C1724D" w:rsidRPr="007038AB" w:rsidRDefault="00C1724D" w:rsidP="005E021A">
            <w:pPr>
              <w:rPr>
                <w:b/>
                <w:bCs/>
                <w:sz w:val="18"/>
                <w:szCs w:val="18"/>
              </w:rPr>
            </w:pPr>
            <w:r w:rsidRPr="007038AB">
              <w:rPr>
                <w:b/>
                <w:bCs/>
                <w:sz w:val="18"/>
                <w:szCs w:val="18"/>
              </w:rPr>
              <w:t>MNT</w:t>
            </w:r>
          </w:p>
        </w:tc>
        <w:tc>
          <w:tcPr>
            <w:tcW w:w="3512" w:type="dxa"/>
          </w:tcPr>
          <w:p w:rsidR="00C1724D" w:rsidRPr="007038AB" w:rsidRDefault="00C1724D" w:rsidP="005E021A">
            <w:pPr>
              <w:rPr>
                <w:b/>
                <w:bCs/>
                <w:sz w:val="18"/>
                <w:szCs w:val="18"/>
              </w:rPr>
            </w:pPr>
            <w:r w:rsidRPr="007038AB">
              <w:rPr>
                <w:b/>
                <w:bCs/>
                <w:sz w:val="18"/>
                <w:szCs w:val="18"/>
              </w:rPr>
              <w:t>MT</w:t>
            </w:r>
          </w:p>
        </w:tc>
      </w:tr>
      <w:tr w:rsidR="00C1724D" w:rsidRPr="007038AB" w:rsidTr="00C1724D">
        <w:tc>
          <w:tcPr>
            <w:tcW w:w="3119" w:type="dxa"/>
          </w:tcPr>
          <w:p w:rsidR="00C1724D" w:rsidRPr="007038AB" w:rsidRDefault="00C1724D" w:rsidP="005E021A">
            <w:pPr>
              <w:rPr>
                <w:sz w:val="18"/>
                <w:szCs w:val="18"/>
              </w:rPr>
            </w:pPr>
            <w:r w:rsidRPr="007038AB">
              <w:rPr>
                <w:sz w:val="18"/>
                <w:szCs w:val="18"/>
              </w:rPr>
              <w:t>incubation</w:t>
            </w:r>
          </w:p>
        </w:tc>
        <w:tc>
          <w:tcPr>
            <w:tcW w:w="4142" w:type="dxa"/>
          </w:tcPr>
          <w:p w:rsidR="00C1724D" w:rsidRPr="007038AB" w:rsidRDefault="00C1724D" w:rsidP="005E021A">
            <w:pPr>
              <w:rPr>
                <w:sz w:val="18"/>
                <w:szCs w:val="18"/>
              </w:rPr>
            </w:pPr>
            <w:r w:rsidRPr="007038AB">
              <w:rPr>
                <w:sz w:val="18"/>
                <w:szCs w:val="18"/>
              </w:rPr>
              <w:t>Longue</w:t>
            </w:r>
          </w:p>
        </w:tc>
        <w:tc>
          <w:tcPr>
            <w:tcW w:w="3512" w:type="dxa"/>
          </w:tcPr>
          <w:p w:rsidR="00C1724D" w:rsidRPr="007038AB" w:rsidRDefault="00C1724D" w:rsidP="005E021A">
            <w:pPr>
              <w:rPr>
                <w:sz w:val="18"/>
                <w:szCs w:val="18"/>
              </w:rPr>
            </w:pPr>
            <w:r w:rsidRPr="007038AB">
              <w:rPr>
                <w:sz w:val="18"/>
                <w:szCs w:val="18"/>
              </w:rPr>
              <w:t>Courte</w:t>
            </w:r>
          </w:p>
        </w:tc>
      </w:tr>
      <w:tr w:rsidR="00C1724D" w:rsidRPr="007038AB" w:rsidTr="00C1724D">
        <w:tc>
          <w:tcPr>
            <w:tcW w:w="3119" w:type="dxa"/>
          </w:tcPr>
          <w:p w:rsidR="00C1724D" w:rsidRPr="007038AB" w:rsidRDefault="00C1724D" w:rsidP="005E021A">
            <w:pPr>
              <w:rPr>
                <w:sz w:val="18"/>
                <w:szCs w:val="18"/>
              </w:rPr>
            </w:pPr>
            <w:r w:rsidRPr="007038AB">
              <w:rPr>
                <w:sz w:val="18"/>
                <w:szCs w:val="18"/>
              </w:rPr>
              <w:t>Limite incubation-stade clinique</w:t>
            </w:r>
          </w:p>
        </w:tc>
        <w:tc>
          <w:tcPr>
            <w:tcW w:w="4142" w:type="dxa"/>
          </w:tcPr>
          <w:p w:rsidR="00C1724D" w:rsidRPr="007038AB" w:rsidRDefault="00C1724D" w:rsidP="005E021A">
            <w:pPr>
              <w:rPr>
                <w:sz w:val="18"/>
                <w:szCs w:val="18"/>
              </w:rPr>
            </w:pPr>
            <w:r w:rsidRPr="007038AB">
              <w:rPr>
                <w:sz w:val="18"/>
                <w:szCs w:val="18"/>
              </w:rPr>
              <w:t>Non très nette</w:t>
            </w:r>
          </w:p>
        </w:tc>
        <w:tc>
          <w:tcPr>
            <w:tcW w:w="3512" w:type="dxa"/>
          </w:tcPr>
          <w:p w:rsidR="00C1724D" w:rsidRPr="007038AB" w:rsidRDefault="00C1724D" w:rsidP="005E021A">
            <w:pPr>
              <w:rPr>
                <w:sz w:val="18"/>
                <w:szCs w:val="18"/>
              </w:rPr>
            </w:pPr>
            <w:r w:rsidRPr="007038AB">
              <w:rPr>
                <w:sz w:val="18"/>
                <w:szCs w:val="18"/>
              </w:rPr>
              <w:t>Nette</w:t>
            </w:r>
          </w:p>
        </w:tc>
      </w:tr>
      <w:tr w:rsidR="00C1724D" w:rsidRPr="007038AB" w:rsidTr="00C1724D">
        <w:trPr>
          <w:trHeight w:val="897"/>
        </w:trPr>
        <w:tc>
          <w:tcPr>
            <w:tcW w:w="3119" w:type="dxa"/>
          </w:tcPr>
          <w:p w:rsidR="00C1724D" w:rsidRPr="007038AB" w:rsidRDefault="00C1724D" w:rsidP="005E021A">
            <w:pPr>
              <w:rPr>
                <w:sz w:val="18"/>
                <w:szCs w:val="18"/>
              </w:rPr>
            </w:pPr>
            <w:r w:rsidRPr="007038AB">
              <w:rPr>
                <w:sz w:val="18"/>
                <w:szCs w:val="18"/>
              </w:rPr>
              <w:t>Causalité</w:t>
            </w:r>
          </w:p>
        </w:tc>
        <w:tc>
          <w:tcPr>
            <w:tcW w:w="4142" w:type="dxa"/>
          </w:tcPr>
          <w:p w:rsidR="00C1724D" w:rsidRPr="00691019" w:rsidRDefault="00C1724D" w:rsidP="00691019">
            <w:pPr>
              <w:pStyle w:val="Paragraphedeliste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91019">
              <w:rPr>
                <w:sz w:val="18"/>
                <w:szCs w:val="18"/>
              </w:rPr>
              <w:t>Multifactorielle (itérative ou cumulative)</w:t>
            </w:r>
          </w:p>
          <w:p w:rsidR="00C1724D" w:rsidRPr="00691019" w:rsidRDefault="00C1724D" w:rsidP="00691019">
            <w:pPr>
              <w:pStyle w:val="Paragraphedeliste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91019">
              <w:rPr>
                <w:sz w:val="18"/>
                <w:szCs w:val="18"/>
              </w:rPr>
              <w:t xml:space="preserve">Présence de FDR </w:t>
            </w:r>
          </w:p>
          <w:p w:rsidR="00C1724D" w:rsidRPr="00691019" w:rsidRDefault="00C1724D" w:rsidP="00691019">
            <w:pPr>
              <w:pStyle w:val="Paragraphedeliste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91019">
              <w:rPr>
                <w:sz w:val="18"/>
                <w:szCs w:val="18"/>
              </w:rPr>
              <w:t xml:space="preserve">Pas de contamination par agent pathogène </w:t>
            </w:r>
          </w:p>
          <w:p w:rsidR="00C1724D" w:rsidRPr="007038AB" w:rsidRDefault="00C1724D" w:rsidP="005E021A">
            <w:pPr>
              <w:rPr>
                <w:sz w:val="18"/>
                <w:szCs w:val="18"/>
              </w:rPr>
            </w:pPr>
          </w:p>
        </w:tc>
        <w:tc>
          <w:tcPr>
            <w:tcW w:w="3512" w:type="dxa"/>
          </w:tcPr>
          <w:p w:rsidR="00C1724D" w:rsidRPr="00691019" w:rsidRDefault="00C1724D" w:rsidP="00691019">
            <w:pPr>
              <w:pStyle w:val="Paragraphedeliste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91019">
              <w:rPr>
                <w:sz w:val="18"/>
                <w:szCs w:val="18"/>
              </w:rPr>
              <w:t xml:space="preserve">Un seul Facteur étiologique </w:t>
            </w:r>
          </w:p>
          <w:p w:rsidR="00C1724D" w:rsidRPr="00691019" w:rsidRDefault="00C1724D" w:rsidP="00691019">
            <w:pPr>
              <w:pStyle w:val="Paragraphedeliste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91019">
              <w:rPr>
                <w:sz w:val="18"/>
                <w:szCs w:val="18"/>
              </w:rPr>
              <w:t>Absence de FDR</w:t>
            </w:r>
          </w:p>
          <w:p w:rsidR="00C1724D" w:rsidRPr="00691019" w:rsidRDefault="00C1724D" w:rsidP="00691019">
            <w:pPr>
              <w:pStyle w:val="Paragraphedeliste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91019">
              <w:rPr>
                <w:sz w:val="18"/>
                <w:szCs w:val="18"/>
              </w:rPr>
              <w:t xml:space="preserve">Contamination par agent pathogène </w:t>
            </w:r>
          </w:p>
          <w:p w:rsidR="00C1724D" w:rsidRPr="007038AB" w:rsidRDefault="00C1724D" w:rsidP="005E021A">
            <w:pPr>
              <w:rPr>
                <w:sz w:val="18"/>
                <w:szCs w:val="18"/>
              </w:rPr>
            </w:pPr>
          </w:p>
        </w:tc>
      </w:tr>
    </w:tbl>
    <w:p w:rsidR="00262D0F" w:rsidRPr="007038AB" w:rsidRDefault="00262D0F" w:rsidP="005E021A">
      <w:pPr>
        <w:rPr>
          <w:sz w:val="18"/>
          <w:szCs w:val="18"/>
        </w:rPr>
      </w:pPr>
    </w:p>
    <w:p w:rsidR="00DE35A7" w:rsidRPr="007038AB" w:rsidRDefault="00840D39" w:rsidP="005E021A">
      <w:pPr>
        <w:rPr>
          <w:sz w:val="18"/>
          <w:szCs w:val="18"/>
        </w:rPr>
      </w:pPr>
      <w:r w:rsidRPr="00840D39">
        <w:rPr>
          <w:b/>
          <w:bCs/>
          <w:noProof/>
          <w:sz w:val="18"/>
          <w:szCs w:val="18"/>
          <w:lang w:eastAsia="fr-F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25.25pt;margin-top:15.55pt;width:207.65pt;height:3.55pt;z-index:251659264"/>
        </w:pict>
      </w:r>
      <w:r w:rsidR="00262D0F" w:rsidRPr="007038AB">
        <w:rPr>
          <w:b/>
          <w:bCs/>
          <w:sz w:val="18"/>
          <w:szCs w:val="18"/>
        </w:rPr>
        <w:t xml:space="preserve">MT </w:t>
      </w:r>
      <w:r w:rsidR="00262D0F" w:rsidRPr="007038AB">
        <w:rPr>
          <w:sz w:val="18"/>
          <w:szCs w:val="18"/>
        </w:rPr>
        <w:t xml:space="preserve">    incubation / clinique / complication </w:t>
      </w:r>
    </w:p>
    <w:p w:rsidR="00262D0F" w:rsidRDefault="00840D39" w:rsidP="005E021A">
      <w:pPr>
        <w:rPr>
          <w:sz w:val="18"/>
          <w:szCs w:val="18"/>
        </w:rPr>
      </w:pPr>
      <w:r w:rsidRPr="00840D39">
        <w:rPr>
          <w:b/>
          <w:bCs/>
          <w:noProof/>
          <w:sz w:val="18"/>
          <w:szCs w:val="18"/>
          <w:lang w:eastAsia="fr-FR"/>
        </w:rPr>
        <w:pict>
          <v:shape id="_x0000_s1028" type="#_x0000_t13" style="position:absolute;margin-left:21.5pt;margin-top:16.05pt;width:292.25pt;height:3.75pt;z-index:251660288"/>
        </w:pict>
      </w:r>
      <w:r w:rsidR="00262D0F" w:rsidRPr="007038AB">
        <w:rPr>
          <w:b/>
          <w:bCs/>
          <w:sz w:val="18"/>
          <w:szCs w:val="18"/>
        </w:rPr>
        <w:t xml:space="preserve">MNT  </w:t>
      </w:r>
      <w:r w:rsidR="00262D0F" w:rsidRPr="007038AB">
        <w:rPr>
          <w:sz w:val="18"/>
          <w:szCs w:val="18"/>
        </w:rPr>
        <w:t xml:space="preserve">exposition au risque / prés clinique /clinique / complication </w:t>
      </w:r>
    </w:p>
    <w:p w:rsidR="007038AB" w:rsidRDefault="007038AB" w:rsidP="005E021A">
      <w:pPr>
        <w:rPr>
          <w:sz w:val="18"/>
          <w:szCs w:val="18"/>
        </w:rPr>
      </w:pPr>
    </w:p>
    <w:p w:rsidR="007038AB" w:rsidRDefault="007038AB" w:rsidP="005E021A">
      <w:pPr>
        <w:rPr>
          <w:sz w:val="18"/>
          <w:szCs w:val="18"/>
        </w:rPr>
      </w:pPr>
      <w:r w:rsidRPr="007038AB">
        <w:rPr>
          <w:b/>
          <w:bCs/>
          <w:sz w:val="18"/>
          <w:szCs w:val="18"/>
        </w:rPr>
        <w:t>Définition FDR</w:t>
      </w:r>
      <w:r>
        <w:rPr>
          <w:sz w:val="18"/>
          <w:szCs w:val="18"/>
        </w:rPr>
        <w:t xml:space="preserve"> : est une variable qui augmente la probabilité de l’apparition d’un problème de santé chez un individu ou dans la population  </w:t>
      </w:r>
    </w:p>
    <w:p w:rsidR="007038AB" w:rsidRDefault="007038AB" w:rsidP="005E021A">
      <w:pPr>
        <w:rPr>
          <w:sz w:val="18"/>
          <w:szCs w:val="18"/>
        </w:rPr>
      </w:pPr>
      <w:r w:rsidRPr="007038AB">
        <w:rPr>
          <w:b/>
          <w:bCs/>
          <w:sz w:val="18"/>
          <w:szCs w:val="18"/>
        </w:rPr>
        <w:t>Définition d’une population a risque </w:t>
      </w:r>
      <w:r>
        <w:rPr>
          <w:sz w:val="18"/>
          <w:szCs w:val="18"/>
        </w:rPr>
        <w:t xml:space="preserve">: est une population exposée à un FDR qui peut être relié sur le plan étiologique a la maladie  </w:t>
      </w:r>
    </w:p>
    <w:p w:rsidR="007038AB" w:rsidRDefault="007038AB" w:rsidP="005E021A">
      <w:pPr>
        <w:rPr>
          <w:sz w:val="18"/>
          <w:szCs w:val="18"/>
        </w:rPr>
      </w:pPr>
      <w:r w:rsidRPr="007038AB">
        <w:rPr>
          <w:b/>
          <w:bCs/>
          <w:sz w:val="18"/>
          <w:szCs w:val="18"/>
        </w:rPr>
        <w:t>Définition d’une population cible</w:t>
      </w:r>
      <w:r>
        <w:rPr>
          <w:sz w:val="18"/>
          <w:szCs w:val="18"/>
        </w:rPr>
        <w:t xml:space="preserve"> : c’est la partie de la population faisant l’objet d’une surveillance particulière dans le cadre de prévention primaire secondaire ou tertiaire qui constitue l’action de santé publique </w:t>
      </w:r>
    </w:p>
    <w:p w:rsidR="007038AB" w:rsidRPr="007038AB" w:rsidRDefault="007038AB" w:rsidP="005E021A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7038AB" w:rsidRPr="007038AB" w:rsidSect="00002E2F">
      <w:pgSz w:w="11906" w:h="16838"/>
      <w:pgMar w:top="1440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401817"/>
    <w:multiLevelType w:val="hybridMultilevel"/>
    <w:tmpl w:val="F6C68BAA"/>
    <w:lvl w:ilvl="0" w:tplc="040C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57272F9E"/>
    <w:multiLevelType w:val="hybridMultilevel"/>
    <w:tmpl w:val="6E728070"/>
    <w:lvl w:ilvl="0" w:tplc="A2AE8FB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1E35F31"/>
    <w:multiLevelType w:val="hybridMultilevel"/>
    <w:tmpl w:val="0B343FD6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7E1E59"/>
    <w:multiLevelType w:val="hybridMultilevel"/>
    <w:tmpl w:val="47B0C0F4"/>
    <w:lvl w:ilvl="0" w:tplc="3BB85E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7712F"/>
    <w:rsid w:val="00002E2F"/>
    <w:rsid w:val="000200B3"/>
    <w:rsid w:val="000778CD"/>
    <w:rsid w:val="000817F9"/>
    <w:rsid w:val="0009311E"/>
    <w:rsid w:val="0017712F"/>
    <w:rsid w:val="00181D45"/>
    <w:rsid w:val="00262D0F"/>
    <w:rsid w:val="004054F4"/>
    <w:rsid w:val="004A4FC9"/>
    <w:rsid w:val="00537425"/>
    <w:rsid w:val="005A627C"/>
    <w:rsid w:val="005C6380"/>
    <w:rsid w:val="005E021A"/>
    <w:rsid w:val="00691019"/>
    <w:rsid w:val="006C1E76"/>
    <w:rsid w:val="007038AB"/>
    <w:rsid w:val="007411C9"/>
    <w:rsid w:val="0079638D"/>
    <w:rsid w:val="00840D39"/>
    <w:rsid w:val="009915EA"/>
    <w:rsid w:val="00A06404"/>
    <w:rsid w:val="00A5760B"/>
    <w:rsid w:val="00AC1FA6"/>
    <w:rsid w:val="00B529C1"/>
    <w:rsid w:val="00BA2068"/>
    <w:rsid w:val="00C1724D"/>
    <w:rsid w:val="00C34B24"/>
    <w:rsid w:val="00C758BB"/>
    <w:rsid w:val="00DD28B9"/>
    <w:rsid w:val="00DE3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7712F"/>
    <w:pPr>
      <w:ind w:left="720"/>
      <w:contextualSpacing/>
    </w:pPr>
  </w:style>
  <w:style w:type="table" w:styleId="Grilledutableau">
    <w:name w:val="Table Grid"/>
    <w:basedOn w:val="TableauNormal"/>
    <w:uiPriority w:val="59"/>
    <w:rsid w:val="00DE35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387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13</cp:revision>
  <dcterms:created xsi:type="dcterms:W3CDTF">2010-04-29T15:54:00Z</dcterms:created>
  <dcterms:modified xsi:type="dcterms:W3CDTF">2012-09-03T17:25:00Z</dcterms:modified>
</cp:coreProperties>
</file>