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89614B" w:rsidRDefault="00BE3249" w:rsidP="00BE3249">
      <w:pPr>
        <w:jc w:val="center"/>
        <w:rPr>
          <w:b/>
          <w:bCs/>
          <w:color w:val="FF0000"/>
          <w:sz w:val="18"/>
          <w:szCs w:val="18"/>
        </w:rPr>
      </w:pPr>
      <w:r w:rsidRPr="0089614B">
        <w:rPr>
          <w:b/>
          <w:bCs/>
          <w:color w:val="FF0000"/>
          <w:sz w:val="18"/>
          <w:szCs w:val="18"/>
        </w:rPr>
        <w:t>MESURES D’ASSOCIATIONS</w:t>
      </w:r>
    </w:p>
    <w:p w:rsidR="00AD2238" w:rsidRPr="0089614B" w:rsidRDefault="00AD2238" w:rsidP="00AD2238">
      <w:pPr>
        <w:pStyle w:val="Paragraphedeliste"/>
        <w:numPr>
          <w:ilvl w:val="0"/>
          <w:numId w:val="1"/>
        </w:numPr>
        <w:rPr>
          <w:b/>
          <w:bCs/>
          <w:color w:val="244061" w:themeColor="accent1" w:themeShade="80"/>
          <w:sz w:val="18"/>
          <w:szCs w:val="18"/>
        </w:rPr>
      </w:pPr>
      <w:r w:rsidRPr="0089614B">
        <w:rPr>
          <w:b/>
          <w:bCs/>
          <w:color w:val="244061" w:themeColor="accent1" w:themeShade="80"/>
          <w:sz w:val="18"/>
          <w:szCs w:val="18"/>
        </w:rPr>
        <w:t>études cohorte :</w:t>
      </w:r>
    </w:p>
    <w:tbl>
      <w:tblPr>
        <w:tblStyle w:val="Grilledutableau"/>
        <w:tblpPr w:leftFromText="141" w:rightFromText="141" w:vertAnchor="text" w:horzAnchor="margin" w:tblpXSpec="center" w:tblpY="79"/>
        <w:tblW w:w="0" w:type="auto"/>
        <w:tblLook w:val="04A0"/>
      </w:tblPr>
      <w:tblGrid>
        <w:gridCol w:w="2111"/>
        <w:gridCol w:w="2111"/>
        <w:gridCol w:w="2112"/>
        <w:gridCol w:w="2112"/>
      </w:tblGrid>
      <w:tr w:rsidR="00BE3249" w:rsidRPr="0089614B" w:rsidTr="00BE3249">
        <w:trPr>
          <w:trHeight w:val="70"/>
        </w:trPr>
        <w:tc>
          <w:tcPr>
            <w:tcW w:w="2111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sz w:val="18"/>
                <w:szCs w:val="18"/>
              </w:rPr>
            </w:pPr>
          </w:p>
        </w:tc>
        <w:tc>
          <w:tcPr>
            <w:tcW w:w="2111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 w:rsidRPr="0089614B">
              <w:rPr>
                <w:b/>
                <w:bCs/>
                <w:sz w:val="18"/>
                <w:szCs w:val="18"/>
              </w:rPr>
              <w:t>malades</w:t>
            </w:r>
          </w:p>
        </w:tc>
        <w:tc>
          <w:tcPr>
            <w:tcW w:w="2112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 w:rsidRPr="0089614B">
              <w:rPr>
                <w:b/>
                <w:bCs/>
                <w:sz w:val="18"/>
                <w:szCs w:val="18"/>
              </w:rPr>
              <w:t>Non malades</w:t>
            </w:r>
          </w:p>
        </w:tc>
        <w:tc>
          <w:tcPr>
            <w:tcW w:w="2112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 w:rsidRPr="0089614B">
              <w:rPr>
                <w:b/>
                <w:bCs/>
                <w:sz w:val="18"/>
                <w:szCs w:val="18"/>
              </w:rPr>
              <w:t>Total</w:t>
            </w:r>
          </w:p>
        </w:tc>
      </w:tr>
      <w:tr w:rsidR="00BE3249" w:rsidRPr="0089614B" w:rsidTr="00BE3249">
        <w:tc>
          <w:tcPr>
            <w:tcW w:w="2111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 w:rsidRPr="0089614B">
              <w:rPr>
                <w:b/>
                <w:bCs/>
                <w:sz w:val="18"/>
                <w:szCs w:val="18"/>
              </w:rPr>
              <w:t>Exposés</w:t>
            </w:r>
          </w:p>
        </w:tc>
        <w:tc>
          <w:tcPr>
            <w:tcW w:w="2111" w:type="dxa"/>
          </w:tcPr>
          <w:p w:rsidR="00BE3249" w:rsidRPr="0089614B" w:rsidRDefault="00BE3249" w:rsidP="002150ED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A</w:t>
            </w:r>
          </w:p>
        </w:tc>
        <w:tc>
          <w:tcPr>
            <w:tcW w:w="2112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B</w:t>
            </w:r>
          </w:p>
        </w:tc>
        <w:tc>
          <w:tcPr>
            <w:tcW w:w="2112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A+B</w:t>
            </w:r>
          </w:p>
        </w:tc>
      </w:tr>
      <w:tr w:rsidR="00BE3249" w:rsidRPr="0089614B" w:rsidTr="00BE3249">
        <w:tc>
          <w:tcPr>
            <w:tcW w:w="2111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 w:rsidRPr="0089614B">
              <w:rPr>
                <w:b/>
                <w:bCs/>
                <w:sz w:val="18"/>
                <w:szCs w:val="18"/>
              </w:rPr>
              <w:t>Non exposés</w:t>
            </w:r>
          </w:p>
        </w:tc>
        <w:tc>
          <w:tcPr>
            <w:tcW w:w="2111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C</w:t>
            </w:r>
          </w:p>
        </w:tc>
        <w:tc>
          <w:tcPr>
            <w:tcW w:w="2112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D</w:t>
            </w:r>
          </w:p>
        </w:tc>
        <w:tc>
          <w:tcPr>
            <w:tcW w:w="2112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C+D</w:t>
            </w:r>
          </w:p>
        </w:tc>
      </w:tr>
      <w:tr w:rsidR="00BE3249" w:rsidRPr="0089614B" w:rsidTr="00BE3249">
        <w:tc>
          <w:tcPr>
            <w:tcW w:w="2111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 w:rsidRPr="0089614B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111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A+C</w:t>
            </w:r>
          </w:p>
        </w:tc>
        <w:tc>
          <w:tcPr>
            <w:tcW w:w="2112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B+D</w:t>
            </w:r>
          </w:p>
        </w:tc>
        <w:tc>
          <w:tcPr>
            <w:tcW w:w="2112" w:type="dxa"/>
          </w:tcPr>
          <w:p w:rsidR="00BE3249" w:rsidRPr="0089614B" w:rsidRDefault="00BE3249" w:rsidP="00BE3249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N</w:t>
            </w:r>
          </w:p>
        </w:tc>
      </w:tr>
    </w:tbl>
    <w:p w:rsidR="00BE3249" w:rsidRPr="0089614B" w:rsidRDefault="00BE3249" w:rsidP="00BE3249">
      <w:pPr>
        <w:rPr>
          <w:b/>
          <w:bCs/>
          <w:color w:val="244061" w:themeColor="accent1" w:themeShade="80"/>
          <w:sz w:val="18"/>
          <w:szCs w:val="18"/>
        </w:rPr>
      </w:pPr>
    </w:p>
    <w:p w:rsidR="00BE3249" w:rsidRPr="0089614B" w:rsidRDefault="00BE3249" w:rsidP="00BE3249">
      <w:pPr>
        <w:rPr>
          <w:b/>
          <w:bCs/>
          <w:color w:val="244061" w:themeColor="accent1" w:themeShade="80"/>
          <w:sz w:val="18"/>
          <w:szCs w:val="18"/>
        </w:rPr>
      </w:pPr>
    </w:p>
    <w:p w:rsidR="00AD2238" w:rsidRPr="0089614B" w:rsidRDefault="00AD2238" w:rsidP="00AD2238">
      <w:pPr>
        <w:pStyle w:val="Paragraphedeliste"/>
        <w:ind w:left="1080"/>
        <w:rPr>
          <w:sz w:val="18"/>
          <w:szCs w:val="18"/>
        </w:rPr>
      </w:pPr>
    </w:p>
    <w:p w:rsidR="00BE3249" w:rsidRPr="0089614B" w:rsidRDefault="00BE3249" w:rsidP="00BE3249">
      <w:pPr>
        <w:pStyle w:val="Paragraphedeliste"/>
        <w:ind w:left="1080"/>
        <w:rPr>
          <w:sz w:val="18"/>
          <w:szCs w:val="18"/>
        </w:rPr>
      </w:pPr>
    </w:p>
    <w:p w:rsidR="00BE3249" w:rsidRPr="0089614B" w:rsidRDefault="00BE3249" w:rsidP="00BE3249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89614B">
        <w:rPr>
          <w:sz w:val="18"/>
          <w:szCs w:val="18"/>
        </w:rPr>
        <w:t>incidence exposés = A/A+B</w:t>
      </w:r>
    </w:p>
    <w:p w:rsidR="00BE3249" w:rsidRPr="0089614B" w:rsidRDefault="00BE3249" w:rsidP="00F94A1E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89614B">
        <w:rPr>
          <w:sz w:val="18"/>
          <w:szCs w:val="18"/>
        </w:rPr>
        <w:t>incidence non exposés = C/C+D</w:t>
      </w:r>
    </w:p>
    <w:p w:rsidR="00BE3249" w:rsidRPr="0089614B" w:rsidRDefault="00BE3249" w:rsidP="00BE3249">
      <w:pPr>
        <w:pStyle w:val="Paragraphedeliste"/>
        <w:ind w:left="1080"/>
        <w:rPr>
          <w:sz w:val="18"/>
          <w:szCs w:val="18"/>
        </w:rPr>
      </w:pPr>
    </w:p>
    <w:p w:rsidR="00AD2238" w:rsidRPr="0089614B" w:rsidRDefault="00AD2238" w:rsidP="00AD2238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89614B">
        <w:rPr>
          <w:sz w:val="18"/>
          <w:szCs w:val="18"/>
        </w:rPr>
        <w:t>le risque relatif : est le rapport de 2 taux d’incidence, il permet de mesurer l’intensité de la relation e</w:t>
      </w:r>
      <w:r w:rsidR="00BE3249" w:rsidRPr="0089614B">
        <w:rPr>
          <w:sz w:val="18"/>
          <w:szCs w:val="18"/>
        </w:rPr>
        <w:t>ntre le facteur de risque étudié</w:t>
      </w:r>
      <w:r w:rsidRPr="0089614B">
        <w:rPr>
          <w:sz w:val="18"/>
          <w:szCs w:val="18"/>
        </w:rPr>
        <w:t xml:space="preserve"> et la maladie (la force étiologique du facteur)</w:t>
      </w:r>
    </w:p>
    <w:p w:rsidR="000123E9" w:rsidRPr="0089614B" w:rsidRDefault="000123E9" w:rsidP="000123E9">
      <w:pPr>
        <w:pStyle w:val="Paragraphedeliste"/>
        <w:ind w:left="1080"/>
        <w:rPr>
          <w:sz w:val="18"/>
          <w:szCs w:val="18"/>
        </w:rPr>
      </w:pPr>
    </w:p>
    <w:p w:rsidR="00BE3249" w:rsidRPr="0089614B" w:rsidRDefault="000123E9" w:rsidP="000123E9">
      <w:pPr>
        <w:pStyle w:val="Paragraphedeliste"/>
        <w:ind w:left="1080"/>
        <w:rPr>
          <w:b/>
          <w:bCs/>
          <w:sz w:val="18"/>
          <w:szCs w:val="18"/>
        </w:rPr>
      </w:pPr>
      <w:r w:rsidRPr="0089614B">
        <w:rPr>
          <w:sz w:val="18"/>
          <w:szCs w:val="18"/>
        </w:rPr>
        <w:t xml:space="preserve">                    </w:t>
      </w:r>
      <w:r w:rsidRPr="0089614B">
        <w:rPr>
          <w:b/>
          <w:bCs/>
          <w:sz w:val="18"/>
          <w:szCs w:val="18"/>
          <w:highlight w:val="lightGray"/>
        </w:rPr>
        <w:t>Le</w:t>
      </w:r>
      <w:r w:rsidR="00BE3249" w:rsidRPr="0089614B">
        <w:rPr>
          <w:b/>
          <w:bCs/>
          <w:sz w:val="18"/>
          <w:szCs w:val="18"/>
          <w:highlight w:val="lightGray"/>
        </w:rPr>
        <w:t xml:space="preserve"> risque relatif (RR) = incidence exposés/ incidence non exposés</w:t>
      </w:r>
    </w:p>
    <w:p w:rsidR="00BE3249" w:rsidRPr="0089614B" w:rsidRDefault="00BE3249" w:rsidP="00BE3249">
      <w:pPr>
        <w:pStyle w:val="Paragraphedeliste"/>
        <w:ind w:left="1080"/>
        <w:rPr>
          <w:sz w:val="18"/>
          <w:szCs w:val="18"/>
        </w:rPr>
      </w:pPr>
    </w:p>
    <w:p w:rsidR="00BE3249" w:rsidRPr="0089614B" w:rsidRDefault="00BE3249" w:rsidP="00BE3249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89614B">
        <w:rPr>
          <w:sz w:val="18"/>
          <w:szCs w:val="18"/>
        </w:rPr>
        <w:t xml:space="preserve">risque attribuable </w:t>
      </w:r>
      <w:r w:rsidR="00AD2238" w:rsidRPr="0089614B">
        <w:rPr>
          <w:sz w:val="18"/>
          <w:szCs w:val="18"/>
        </w:rPr>
        <w:t>(</w:t>
      </w:r>
      <w:r w:rsidRPr="0089614B">
        <w:rPr>
          <w:sz w:val="18"/>
          <w:szCs w:val="18"/>
        </w:rPr>
        <w:t>la différence de risque</w:t>
      </w:r>
      <w:r w:rsidR="00AD2238" w:rsidRPr="0089614B">
        <w:rPr>
          <w:sz w:val="18"/>
          <w:szCs w:val="18"/>
        </w:rPr>
        <w:t xml:space="preserve">) : traduit l’excès de risque encouru par les sujets exposés de développer la maladie par rapport aux sujets non exposés </w:t>
      </w:r>
    </w:p>
    <w:p w:rsidR="000123E9" w:rsidRPr="0089614B" w:rsidRDefault="000123E9" w:rsidP="000123E9">
      <w:pPr>
        <w:pStyle w:val="Paragraphedeliste"/>
        <w:ind w:left="1080"/>
        <w:rPr>
          <w:sz w:val="18"/>
          <w:szCs w:val="18"/>
        </w:rPr>
      </w:pPr>
    </w:p>
    <w:p w:rsidR="00AD2238" w:rsidRPr="0089614B" w:rsidRDefault="000123E9" w:rsidP="000123E9">
      <w:pPr>
        <w:pStyle w:val="Paragraphedeliste"/>
        <w:ind w:left="1080"/>
        <w:rPr>
          <w:b/>
          <w:bCs/>
          <w:sz w:val="18"/>
          <w:szCs w:val="18"/>
        </w:rPr>
      </w:pPr>
      <w:r w:rsidRPr="0089614B">
        <w:rPr>
          <w:sz w:val="18"/>
          <w:szCs w:val="18"/>
        </w:rPr>
        <w:t xml:space="preserve">                 </w:t>
      </w:r>
      <w:r w:rsidRPr="0089614B">
        <w:rPr>
          <w:b/>
          <w:bCs/>
          <w:sz w:val="18"/>
          <w:szCs w:val="18"/>
        </w:rPr>
        <w:t xml:space="preserve"> </w:t>
      </w:r>
      <w:r w:rsidRPr="0089614B">
        <w:rPr>
          <w:b/>
          <w:bCs/>
          <w:sz w:val="18"/>
          <w:szCs w:val="18"/>
          <w:highlight w:val="lightGray"/>
        </w:rPr>
        <w:t xml:space="preserve">Le </w:t>
      </w:r>
      <w:r w:rsidR="00AD2238" w:rsidRPr="0089614B">
        <w:rPr>
          <w:b/>
          <w:bCs/>
          <w:sz w:val="18"/>
          <w:szCs w:val="18"/>
          <w:highlight w:val="lightGray"/>
        </w:rPr>
        <w:t>risque attribuable= incidence exposés – incidence non exposés</w:t>
      </w:r>
      <w:r w:rsidR="00AD2238" w:rsidRPr="0089614B">
        <w:rPr>
          <w:b/>
          <w:bCs/>
          <w:sz w:val="18"/>
          <w:szCs w:val="18"/>
        </w:rPr>
        <w:t xml:space="preserve"> </w:t>
      </w:r>
    </w:p>
    <w:p w:rsidR="00AD2238" w:rsidRPr="0089614B" w:rsidRDefault="00AD2238" w:rsidP="00AD2238">
      <w:pPr>
        <w:pStyle w:val="Paragraphedeliste"/>
        <w:rPr>
          <w:sz w:val="18"/>
          <w:szCs w:val="18"/>
        </w:rPr>
      </w:pPr>
    </w:p>
    <w:p w:rsidR="00AD2238" w:rsidRPr="0089614B" w:rsidRDefault="00AD2238" w:rsidP="00AD2238">
      <w:pPr>
        <w:pStyle w:val="Paragraphedeliste"/>
        <w:rPr>
          <w:sz w:val="18"/>
          <w:szCs w:val="18"/>
        </w:rPr>
      </w:pPr>
    </w:p>
    <w:p w:rsidR="00AD2238" w:rsidRPr="0089614B" w:rsidRDefault="00AD2238" w:rsidP="00AD2238">
      <w:pPr>
        <w:pStyle w:val="Paragraphedeliste"/>
        <w:numPr>
          <w:ilvl w:val="0"/>
          <w:numId w:val="1"/>
        </w:numPr>
        <w:rPr>
          <w:b/>
          <w:bCs/>
          <w:color w:val="244061" w:themeColor="accent1" w:themeShade="80"/>
          <w:sz w:val="18"/>
          <w:szCs w:val="18"/>
        </w:rPr>
      </w:pPr>
      <w:r w:rsidRPr="0089614B">
        <w:rPr>
          <w:b/>
          <w:bCs/>
          <w:color w:val="244061" w:themeColor="accent1" w:themeShade="80"/>
          <w:sz w:val="18"/>
          <w:szCs w:val="18"/>
        </w:rPr>
        <w:t>études cas témoins :</w:t>
      </w:r>
    </w:p>
    <w:p w:rsidR="00BE3249" w:rsidRPr="0089614B" w:rsidRDefault="00BE3249" w:rsidP="00BE3249">
      <w:pPr>
        <w:pStyle w:val="Paragraphedeliste"/>
        <w:ind w:left="1080"/>
        <w:rPr>
          <w:sz w:val="18"/>
          <w:szCs w:val="18"/>
        </w:rPr>
      </w:pPr>
    </w:p>
    <w:tbl>
      <w:tblPr>
        <w:tblStyle w:val="Grilledutableau"/>
        <w:tblW w:w="0" w:type="auto"/>
        <w:tblInd w:w="720" w:type="dxa"/>
        <w:tblLook w:val="04A0"/>
      </w:tblPr>
      <w:tblGrid>
        <w:gridCol w:w="2036"/>
        <w:gridCol w:w="2039"/>
        <w:gridCol w:w="2040"/>
        <w:gridCol w:w="2021"/>
      </w:tblGrid>
      <w:tr w:rsidR="00BE3249" w:rsidRPr="0089614B" w:rsidTr="00BE3249">
        <w:tc>
          <w:tcPr>
            <w:tcW w:w="2036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sz w:val="18"/>
                <w:szCs w:val="18"/>
              </w:rPr>
            </w:pPr>
          </w:p>
        </w:tc>
        <w:tc>
          <w:tcPr>
            <w:tcW w:w="2039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 w:rsidRPr="0089614B">
              <w:rPr>
                <w:b/>
                <w:bCs/>
                <w:sz w:val="18"/>
                <w:szCs w:val="18"/>
              </w:rPr>
              <w:t>Malade = cas</w:t>
            </w:r>
          </w:p>
        </w:tc>
        <w:tc>
          <w:tcPr>
            <w:tcW w:w="2040" w:type="dxa"/>
          </w:tcPr>
          <w:p w:rsidR="00BE3249" w:rsidRPr="0089614B" w:rsidRDefault="0089614B" w:rsidP="004D5B50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Non malade= </w:t>
            </w:r>
            <w:r w:rsidR="00BE3249" w:rsidRPr="0089614B">
              <w:rPr>
                <w:b/>
                <w:bCs/>
                <w:sz w:val="18"/>
                <w:szCs w:val="18"/>
              </w:rPr>
              <w:t xml:space="preserve">Témoins </w:t>
            </w:r>
          </w:p>
        </w:tc>
        <w:tc>
          <w:tcPr>
            <w:tcW w:w="2021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 w:rsidRPr="0089614B">
              <w:rPr>
                <w:b/>
                <w:bCs/>
                <w:sz w:val="18"/>
                <w:szCs w:val="18"/>
              </w:rPr>
              <w:t>Total</w:t>
            </w:r>
          </w:p>
        </w:tc>
      </w:tr>
      <w:tr w:rsidR="00BE3249" w:rsidRPr="0089614B" w:rsidTr="00BE3249">
        <w:tc>
          <w:tcPr>
            <w:tcW w:w="2036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 w:rsidRPr="0089614B">
              <w:rPr>
                <w:b/>
                <w:bCs/>
                <w:sz w:val="18"/>
                <w:szCs w:val="18"/>
              </w:rPr>
              <w:t>Exposés</w:t>
            </w:r>
          </w:p>
        </w:tc>
        <w:tc>
          <w:tcPr>
            <w:tcW w:w="2039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A</w:t>
            </w:r>
          </w:p>
        </w:tc>
        <w:tc>
          <w:tcPr>
            <w:tcW w:w="2040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B</w:t>
            </w:r>
          </w:p>
        </w:tc>
        <w:tc>
          <w:tcPr>
            <w:tcW w:w="2021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A+B</w:t>
            </w:r>
          </w:p>
        </w:tc>
      </w:tr>
      <w:tr w:rsidR="00BE3249" w:rsidRPr="0089614B" w:rsidTr="00BE3249">
        <w:tc>
          <w:tcPr>
            <w:tcW w:w="2036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 w:rsidRPr="0089614B">
              <w:rPr>
                <w:b/>
                <w:bCs/>
                <w:sz w:val="18"/>
                <w:szCs w:val="18"/>
              </w:rPr>
              <w:t>Non exposés</w:t>
            </w:r>
          </w:p>
        </w:tc>
        <w:tc>
          <w:tcPr>
            <w:tcW w:w="2039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C</w:t>
            </w:r>
          </w:p>
        </w:tc>
        <w:tc>
          <w:tcPr>
            <w:tcW w:w="2040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D</w:t>
            </w:r>
          </w:p>
        </w:tc>
        <w:tc>
          <w:tcPr>
            <w:tcW w:w="2021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C+D</w:t>
            </w:r>
          </w:p>
        </w:tc>
      </w:tr>
      <w:tr w:rsidR="00BE3249" w:rsidRPr="0089614B" w:rsidTr="00BE3249">
        <w:tc>
          <w:tcPr>
            <w:tcW w:w="2036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b/>
                <w:bCs/>
                <w:sz w:val="18"/>
                <w:szCs w:val="18"/>
              </w:rPr>
            </w:pPr>
            <w:r w:rsidRPr="0089614B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39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A+C</w:t>
            </w:r>
          </w:p>
        </w:tc>
        <w:tc>
          <w:tcPr>
            <w:tcW w:w="2040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B+D</w:t>
            </w:r>
          </w:p>
        </w:tc>
        <w:tc>
          <w:tcPr>
            <w:tcW w:w="2021" w:type="dxa"/>
          </w:tcPr>
          <w:p w:rsidR="00BE3249" w:rsidRPr="0089614B" w:rsidRDefault="00BE3249" w:rsidP="004D5B50">
            <w:pPr>
              <w:pStyle w:val="Paragraphedeliste"/>
              <w:ind w:left="0"/>
              <w:rPr>
                <w:sz w:val="18"/>
                <w:szCs w:val="18"/>
              </w:rPr>
            </w:pPr>
            <w:r w:rsidRPr="0089614B">
              <w:rPr>
                <w:sz w:val="18"/>
                <w:szCs w:val="18"/>
              </w:rPr>
              <w:t>N</w:t>
            </w:r>
          </w:p>
        </w:tc>
      </w:tr>
    </w:tbl>
    <w:p w:rsidR="00AD2238" w:rsidRPr="0089614B" w:rsidRDefault="00AD2238" w:rsidP="00AD2238">
      <w:pPr>
        <w:pStyle w:val="Paragraphedeliste"/>
        <w:ind w:left="1080"/>
        <w:rPr>
          <w:sz w:val="18"/>
          <w:szCs w:val="18"/>
        </w:rPr>
      </w:pPr>
    </w:p>
    <w:p w:rsidR="00AD2238" w:rsidRPr="0089614B" w:rsidRDefault="00AD2238" w:rsidP="00BE3249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89614B">
        <w:rPr>
          <w:sz w:val="18"/>
          <w:szCs w:val="18"/>
        </w:rPr>
        <w:t>mesure de la côte d’exposition chez les exposés</w:t>
      </w:r>
      <w:r w:rsidR="00BE3249" w:rsidRPr="0089614B">
        <w:rPr>
          <w:sz w:val="18"/>
          <w:szCs w:val="18"/>
        </w:rPr>
        <w:t xml:space="preserve"> =&gt;</w:t>
      </w:r>
      <w:r w:rsidRPr="0089614B">
        <w:rPr>
          <w:sz w:val="18"/>
          <w:szCs w:val="18"/>
        </w:rPr>
        <w:t xml:space="preserve">  A/C</w:t>
      </w:r>
    </w:p>
    <w:p w:rsidR="00BE3249" w:rsidRPr="0089614B" w:rsidRDefault="00BE3249" w:rsidP="00BE3249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89614B">
        <w:rPr>
          <w:sz w:val="18"/>
          <w:szCs w:val="18"/>
        </w:rPr>
        <w:t>mesure de la côte d’exposition chez les non exposés =&gt; B/D</w:t>
      </w:r>
    </w:p>
    <w:p w:rsidR="00BE3249" w:rsidRPr="0089614B" w:rsidRDefault="00BE3249" w:rsidP="00BE3249">
      <w:pPr>
        <w:pStyle w:val="Paragraphedeliste"/>
        <w:rPr>
          <w:sz w:val="18"/>
          <w:szCs w:val="18"/>
        </w:rPr>
      </w:pPr>
    </w:p>
    <w:p w:rsidR="00BE3249" w:rsidRPr="0089614B" w:rsidRDefault="00BE3249" w:rsidP="00BE3249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89614B">
        <w:rPr>
          <w:sz w:val="18"/>
          <w:szCs w:val="18"/>
        </w:rPr>
        <w:t>le rapport des côtes (RC</w:t>
      </w:r>
      <w:r w:rsidR="00F94A1E" w:rsidRPr="0089614B">
        <w:rPr>
          <w:sz w:val="18"/>
          <w:szCs w:val="18"/>
        </w:rPr>
        <w:t>)</w:t>
      </w:r>
      <w:r w:rsidRPr="0089614B">
        <w:rPr>
          <w:sz w:val="18"/>
          <w:szCs w:val="18"/>
        </w:rPr>
        <w:t>= mesure de la côte d’exposition chez les exposés/ non exposés</w:t>
      </w:r>
    </w:p>
    <w:p w:rsidR="00BE3249" w:rsidRPr="0089614B" w:rsidRDefault="00BE3249" w:rsidP="009D28CB">
      <w:pPr>
        <w:pStyle w:val="Paragraphedeliste"/>
        <w:numPr>
          <w:ilvl w:val="0"/>
          <w:numId w:val="4"/>
        </w:numPr>
        <w:rPr>
          <w:sz w:val="18"/>
          <w:szCs w:val="18"/>
        </w:rPr>
      </w:pPr>
      <w:r w:rsidRPr="0089614B">
        <w:rPr>
          <w:sz w:val="18"/>
          <w:szCs w:val="18"/>
        </w:rPr>
        <w:t>le rapport des côtes (RC) = risque relatif approximatif ou Odds ratio = AD/BC</w:t>
      </w:r>
      <w:r w:rsidR="0089614B">
        <w:rPr>
          <w:sz w:val="18"/>
          <w:szCs w:val="18"/>
        </w:rPr>
        <w:t xml:space="preserve"> : excellente mesure d’association épidémiologique entre un facteur et une maladie </w:t>
      </w:r>
    </w:p>
    <w:p w:rsidR="00F94A1E" w:rsidRPr="0089614B" w:rsidRDefault="00F94A1E" w:rsidP="00F94A1E">
      <w:pPr>
        <w:rPr>
          <w:sz w:val="18"/>
          <w:szCs w:val="18"/>
        </w:rPr>
      </w:pPr>
    </w:p>
    <w:p w:rsidR="00F94A1E" w:rsidRPr="0089614B" w:rsidRDefault="00F94A1E" w:rsidP="00F94A1E">
      <w:pPr>
        <w:jc w:val="center"/>
        <w:rPr>
          <w:b/>
          <w:bCs/>
          <w:color w:val="FF0000"/>
          <w:sz w:val="18"/>
          <w:szCs w:val="18"/>
        </w:rPr>
      </w:pPr>
      <w:r w:rsidRPr="0089614B">
        <w:rPr>
          <w:b/>
          <w:bCs/>
          <w:color w:val="FF0000"/>
          <w:sz w:val="18"/>
          <w:szCs w:val="18"/>
        </w:rPr>
        <w:t>MESURES DE CONTRIBUTION D’UN FACTEUR DE RISQUE</w:t>
      </w:r>
    </w:p>
    <w:p w:rsidR="00F94A1E" w:rsidRPr="0089614B" w:rsidRDefault="00F94A1E" w:rsidP="00F94A1E">
      <w:pPr>
        <w:jc w:val="center"/>
        <w:rPr>
          <w:b/>
          <w:bCs/>
          <w:color w:val="FF0000"/>
          <w:sz w:val="18"/>
          <w:szCs w:val="18"/>
        </w:rPr>
      </w:pPr>
    </w:p>
    <w:p w:rsidR="00F94A1E" w:rsidRPr="0089614B" w:rsidRDefault="00F94A1E" w:rsidP="00F94A1E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89614B">
        <w:rPr>
          <w:sz w:val="18"/>
          <w:szCs w:val="18"/>
        </w:rPr>
        <w:t>fraction étiologique dans le groupe exposé (FERe) =</w:t>
      </w:r>
    </w:p>
    <w:p w:rsidR="00F94A1E" w:rsidRPr="0089614B" w:rsidRDefault="00F94A1E" w:rsidP="00F94A1E">
      <w:pPr>
        <w:pStyle w:val="Paragraphedeliste"/>
        <w:numPr>
          <w:ilvl w:val="0"/>
          <w:numId w:val="4"/>
        </w:numPr>
        <w:rPr>
          <w:sz w:val="18"/>
          <w:szCs w:val="18"/>
        </w:rPr>
      </w:pPr>
      <w:r w:rsidRPr="0089614B">
        <w:rPr>
          <w:sz w:val="18"/>
          <w:szCs w:val="18"/>
        </w:rPr>
        <w:t xml:space="preserve"> </w:t>
      </w:r>
      <w:r w:rsidRPr="0089614B">
        <w:rPr>
          <w:sz w:val="18"/>
          <w:szCs w:val="18"/>
          <w:highlight w:val="yellow"/>
        </w:rPr>
        <w:t>proportion des cas qu’on peut attribuer au facteur de risque</w:t>
      </w:r>
      <w:r w:rsidRPr="0089614B">
        <w:rPr>
          <w:sz w:val="18"/>
          <w:szCs w:val="18"/>
        </w:rPr>
        <w:t xml:space="preserve"> </w:t>
      </w:r>
    </w:p>
    <w:p w:rsidR="00F94A1E" w:rsidRPr="00CB60AD" w:rsidRDefault="00F94A1E" w:rsidP="00F94A1E">
      <w:pPr>
        <w:pStyle w:val="Paragraphedeliste"/>
        <w:numPr>
          <w:ilvl w:val="0"/>
          <w:numId w:val="4"/>
        </w:numPr>
        <w:rPr>
          <w:b/>
          <w:bCs/>
          <w:sz w:val="18"/>
          <w:szCs w:val="18"/>
        </w:rPr>
      </w:pPr>
      <w:r w:rsidRPr="00CB60AD">
        <w:rPr>
          <w:b/>
          <w:bCs/>
          <w:sz w:val="18"/>
          <w:szCs w:val="18"/>
        </w:rPr>
        <w:t xml:space="preserve">elle mesure le pourcentage des cas qui seront évités si on supprime l’exposition au risque </w:t>
      </w:r>
    </w:p>
    <w:p w:rsidR="00F94A1E" w:rsidRPr="0089614B" w:rsidRDefault="00F94A1E" w:rsidP="00F94A1E">
      <w:pPr>
        <w:pStyle w:val="Paragraphedeliste"/>
        <w:numPr>
          <w:ilvl w:val="0"/>
          <w:numId w:val="4"/>
        </w:numPr>
        <w:rPr>
          <w:sz w:val="18"/>
          <w:szCs w:val="18"/>
        </w:rPr>
      </w:pPr>
      <w:r w:rsidRPr="0089614B">
        <w:rPr>
          <w:sz w:val="18"/>
          <w:szCs w:val="18"/>
        </w:rPr>
        <w:t xml:space="preserve">dans l’étude cohorte : </w:t>
      </w:r>
      <w:r w:rsidRPr="00CB60AD">
        <w:rPr>
          <w:b/>
          <w:bCs/>
          <w:sz w:val="18"/>
          <w:szCs w:val="18"/>
        </w:rPr>
        <w:t xml:space="preserve">FERe = </w:t>
      </w:r>
      <w:r w:rsidR="0042772A" w:rsidRPr="00CB60AD">
        <w:rPr>
          <w:b/>
          <w:bCs/>
          <w:sz w:val="18"/>
          <w:szCs w:val="18"/>
        </w:rPr>
        <w:t>(</w:t>
      </w:r>
      <w:r w:rsidRPr="00CB60AD">
        <w:rPr>
          <w:b/>
          <w:bCs/>
          <w:sz w:val="18"/>
          <w:szCs w:val="18"/>
        </w:rPr>
        <w:t>RR-1</w:t>
      </w:r>
      <w:r w:rsidR="0042772A" w:rsidRPr="00CB60AD">
        <w:rPr>
          <w:b/>
          <w:bCs/>
          <w:sz w:val="18"/>
          <w:szCs w:val="18"/>
        </w:rPr>
        <w:t>)</w:t>
      </w:r>
      <w:r w:rsidRPr="00CB60AD">
        <w:rPr>
          <w:b/>
          <w:bCs/>
          <w:sz w:val="18"/>
          <w:szCs w:val="18"/>
        </w:rPr>
        <w:t>/RR</w:t>
      </w:r>
    </w:p>
    <w:p w:rsidR="00F94A1E" w:rsidRPr="0089614B" w:rsidRDefault="00F94A1E" w:rsidP="00F94A1E">
      <w:pPr>
        <w:pStyle w:val="Paragraphedeliste"/>
        <w:numPr>
          <w:ilvl w:val="0"/>
          <w:numId w:val="4"/>
        </w:numPr>
        <w:rPr>
          <w:sz w:val="18"/>
          <w:szCs w:val="18"/>
        </w:rPr>
      </w:pPr>
      <w:r w:rsidRPr="0089614B">
        <w:rPr>
          <w:sz w:val="18"/>
          <w:szCs w:val="18"/>
        </w:rPr>
        <w:t>dans l’étude cas témoins </w:t>
      </w:r>
      <w:r w:rsidRPr="00CB60AD">
        <w:rPr>
          <w:b/>
          <w:bCs/>
          <w:sz w:val="18"/>
          <w:szCs w:val="18"/>
        </w:rPr>
        <w:t xml:space="preserve">: FERe = </w:t>
      </w:r>
      <w:r w:rsidR="0042772A" w:rsidRPr="00CB60AD">
        <w:rPr>
          <w:b/>
          <w:bCs/>
          <w:sz w:val="18"/>
          <w:szCs w:val="18"/>
        </w:rPr>
        <w:t>(</w:t>
      </w:r>
      <w:r w:rsidRPr="00CB60AD">
        <w:rPr>
          <w:b/>
          <w:bCs/>
          <w:sz w:val="18"/>
          <w:szCs w:val="18"/>
        </w:rPr>
        <w:t>OR-1</w:t>
      </w:r>
      <w:r w:rsidR="0042772A" w:rsidRPr="00CB60AD">
        <w:rPr>
          <w:b/>
          <w:bCs/>
          <w:sz w:val="18"/>
          <w:szCs w:val="18"/>
        </w:rPr>
        <w:t>)</w:t>
      </w:r>
      <w:r w:rsidRPr="00CB60AD">
        <w:rPr>
          <w:b/>
          <w:bCs/>
          <w:sz w:val="18"/>
          <w:szCs w:val="18"/>
        </w:rPr>
        <w:t>/OR</w:t>
      </w:r>
    </w:p>
    <w:p w:rsidR="0027497E" w:rsidRPr="0089614B" w:rsidRDefault="0027497E" w:rsidP="0027497E">
      <w:pPr>
        <w:rPr>
          <w:sz w:val="18"/>
          <w:szCs w:val="18"/>
        </w:rPr>
      </w:pPr>
      <w:r w:rsidRPr="0089614B">
        <w:rPr>
          <w:b/>
          <w:bCs/>
          <w:sz w:val="18"/>
          <w:szCs w:val="18"/>
          <w:u w:val="double"/>
        </w:rPr>
        <w:t>Définition d’une cote</w:t>
      </w:r>
      <w:r w:rsidRPr="0089614B">
        <w:rPr>
          <w:sz w:val="18"/>
          <w:szCs w:val="18"/>
        </w:rPr>
        <w:t xml:space="preserve"> : c’est la probabilité de la survenue d’un évènement et celle de la survenue d’un autre évènement en général opposé au premier  </w:t>
      </w:r>
    </w:p>
    <w:sectPr w:rsidR="0027497E" w:rsidRPr="0089614B" w:rsidSect="00F94A1E">
      <w:pgSz w:w="11906" w:h="16838"/>
      <w:pgMar w:top="851" w:right="991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F21A9"/>
    <w:multiLevelType w:val="hybridMultilevel"/>
    <w:tmpl w:val="69020FCE"/>
    <w:lvl w:ilvl="0" w:tplc="F6469234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AFC18EE"/>
    <w:multiLevelType w:val="hybridMultilevel"/>
    <w:tmpl w:val="D7C88EA6"/>
    <w:lvl w:ilvl="0" w:tplc="179C3B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375205"/>
    <w:multiLevelType w:val="hybridMultilevel"/>
    <w:tmpl w:val="E3F8338C"/>
    <w:lvl w:ilvl="0" w:tplc="FE803E7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E95215A"/>
    <w:multiLevelType w:val="hybridMultilevel"/>
    <w:tmpl w:val="1E6EDF88"/>
    <w:lvl w:ilvl="0" w:tplc="D736EF2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D2238"/>
    <w:rsid w:val="000123E9"/>
    <w:rsid w:val="000C1B05"/>
    <w:rsid w:val="00197191"/>
    <w:rsid w:val="002150ED"/>
    <w:rsid w:val="002152AC"/>
    <w:rsid w:val="0027497E"/>
    <w:rsid w:val="00313867"/>
    <w:rsid w:val="0042772A"/>
    <w:rsid w:val="00521D81"/>
    <w:rsid w:val="00576299"/>
    <w:rsid w:val="006A0FAD"/>
    <w:rsid w:val="0089614B"/>
    <w:rsid w:val="008A5A7C"/>
    <w:rsid w:val="0095768F"/>
    <w:rsid w:val="00971C55"/>
    <w:rsid w:val="009D28CB"/>
    <w:rsid w:val="00AC1FA6"/>
    <w:rsid w:val="00AD2238"/>
    <w:rsid w:val="00B424DE"/>
    <w:rsid w:val="00BE3249"/>
    <w:rsid w:val="00C758BB"/>
    <w:rsid w:val="00CB1EF4"/>
    <w:rsid w:val="00CB60AD"/>
    <w:rsid w:val="00F94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24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D2238"/>
    <w:pPr>
      <w:ind w:left="720"/>
      <w:contextualSpacing/>
    </w:pPr>
  </w:style>
  <w:style w:type="table" w:styleId="Grilledutableau">
    <w:name w:val="Table Grid"/>
    <w:basedOn w:val="TableauNormal"/>
    <w:uiPriority w:val="59"/>
    <w:rsid w:val="00AD22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259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11</cp:revision>
  <dcterms:created xsi:type="dcterms:W3CDTF">2010-04-30T11:07:00Z</dcterms:created>
  <dcterms:modified xsi:type="dcterms:W3CDTF">2012-09-02T18:29:00Z</dcterms:modified>
</cp:coreProperties>
</file>