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5D2" w:rsidRPr="00EB1E9D" w:rsidRDefault="00F02C0E" w:rsidP="00EB1E9D">
      <w:pPr>
        <w:jc w:val="center"/>
        <w:rPr>
          <w:b/>
          <w:bCs/>
          <w:color w:val="000000" w:themeColor="text1"/>
        </w:rPr>
      </w:pPr>
      <w:r w:rsidRPr="00EB1E9D">
        <w:rPr>
          <w:b/>
          <w:bCs/>
          <w:color w:val="000000" w:themeColor="text1"/>
        </w:rPr>
        <w:t>QCM</w:t>
      </w:r>
      <w:r w:rsidR="00EB1E9D">
        <w:rPr>
          <w:b/>
          <w:bCs/>
          <w:color w:val="000000" w:themeColor="text1"/>
        </w:rPr>
        <w:t xml:space="preserve"> </w:t>
      </w:r>
      <w:proofErr w:type="spellStart"/>
      <w:r w:rsidR="00EB1E9D">
        <w:rPr>
          <w:b/>
          <w:bCs/>
          <w:color w:val="000000" w:themeColor="text1"/>
        </w:rPr>
        <w:t>Melbouci</w:t>
      </w:r>
      <w:proofErr w:type="spellEnd"/>
    </w:p>
    <w:p w:rsidR="00F02C0E" w:rsidRPr="00EB1E9D" w:rsidRDefault="00F02C0E" w:rsidP="00EB1E9D">
      <w:pPr>
        <w:rPr>
          <w:color w:val="000000" w:themeColor="text1"/>
        </w:rPr>
      </w:pPr>
      <w:r w:rsidRPr="00EB1E9D">
        <w:rPr>
          <w:color w:val="000000" w:themeColor="text1"/>
        </w:rPr>
        <w:t>5-6-7-8</w:t>
      </w:r>
      <w:r w:rsidR="00233A96" w:rsidRPr="00EB1E9D">
        <w:rPr>
          <w:color w:val="000000" w:themeColor="text1"/>
        </w:rPr>
        <w:t>-9-13-</w:t>
      </w:r>
      <w:r w:rsidR="000253D4" w:rsidRPr="00EB1E9D">
        <w:rPr>
          <w:color w:val="000000" w:themeColor="text1"/>
        </w:rPr>
        <w:t>14</w:t>
      </w:r>
      <w:r w:rsidR="006215D5" w:rsidRPr="00EB1E9D">
        <w:rPr>
          <w:color w:val="000000" w:themeColor="text1"/>
        </w:rPr>
        <w:t>-17</w:t>
      </w:r>
      <w:r w:rsidR="009617EC" w:rsidRPr="00EB1E9D">
        <w:rPr>
          <w:color w:val="000000" w:themeColor="text1"/>
        </w:rPr>
        <w:t>-21 (apprendre)-</w:t>
      </w:r>
      <w:r w:rsidR="00740589" w:rsidRPr="00EB1E9D">
        <w:rPr>
          <w:color w:val="000000" w:themeColor="text1"/>
        </w:rPr>
        <w:t>34</w:t>
      </w:r>
      <w:r w:rsidR="000E1ECA" w:rsidRPr="00EB1E9D">
        <w:rPr>
          <w:color w:val="000000" w:themeColor="text1"/>
        </w:rPr>
        <w:t>-42-</w:t>
      </w:r>
      <w:r w:rsidR="008C4600" w:rsidRPr="00EB1E9D">
        <w:rPr>
          <w:color w:val="000000" w:themeColor="text1"/>
        </w:rPr>
        <w:t>55</w:t>
      </w:r>
      <w:r w:rsidR="00EB1E9D" w:rsidRPr="00EB1E9D">
        <w:rPr>
          <w:color w:val="000000" w:themeColor="text1"/>
        </w:rPr>
        <w:t>-63</w:t>
      </w:r>
    </w:p>
    <w:p w:rsidR="00233A96" w:rsidRPr="00EB1E9D" w:rsidRDefault="00233A96" w:rsidP="00EB1E9D">
      <w:pPr>
        <w:rPr>
          <w:rFonts w:cs="Arial"/>
          <w:color w:val="000000" w:themeColor="text1"/>
        </w:rPr>
      </w:pPr>
      <w:r w:rsidRPr="00EB1E9D">
        <w:rPr>
          <w:color w:val="000000" w:themeColor="text1"/>
        </w:rPr>
        <w:t xml:space="preserve">9 : </w:t>
      </w:r>
      <w:r w:rsidRPr="00EB1E9D">
        <w:rPr>
          <w:rStyle w:val="Accentuation"/>
          <w:rFonts w:cs="Arial"/>
          <w:b w:val="0"/>
          <w:bCs w:val="0"/>
          <w:color w:val="000000" w:themeColor="text1"/>
          <w:highlight w:val="yellow"/>
        </w:rPr>
        <w:t xml:space="preserve">cofacteur de la </w:t>
      </w:r>
      <w:proofErr w:type="spellStart"/>
      <w:r w:rsidRPr="00EB1E9D">
        <w:rPr>
          <w:rStyle w:val="Accentuation"/>
          <w:rFonts w:cs="Arial"/>
          <w:b w:val="0"/>
          <w:bCs w:val="0"/>
          <w:color w:val="000000" w:themeColor="text1"/>
          <w:highlight w:val="yellow"/>
        </w:rPr>
        <w:t>ristocétine</w:t>
      </w:r>
      <w:proofErr w:type="spellEnd"/>
      <w:r w:rsidRPr="00EB1E9D">
        <w:rPr>
          <w:rFonts w:cs="Arial"/>
          <w:color w:val="000000" w:themeColor="text1"/>
        </w:rPr>
        <w:t xml:space="preserve"> = facteur </w:t>
      </w:r>
      <w:proofErr w:type="spellStart"/>
      <w:r w:rsidRPr="00EB1E9D">
        <w:rPr>
          <w:rFonts w:cs="Arial"/>
          <w:color w:val="000000" w:themeColor="text1"/>
        </w:rPr>
        <w:t>Willebrand</w:t>
      </w:r>
      <w:proofErr w:type="spellEnd"/>
    </w:p>
    <w:p w:rsidR="006215D5" w:rsidRPr="00EB1E9D" w:rsidRDefault="006215D5" w:rsidP="00EB1E9D">
      <w:pPr>
        <w:rPr>
          <w:rFonts w:cs="Arial"/>
          <w:color w:val="000000" w:themeColor="text1"/>
        </w:rPr>
      </w:pPr>
      <w:r w:rsidRPr="00EB1E9D">
        <w:rPr>
          <w:rFonts w:cs="Arial"/>
          <w:color w:val="000000" w:themeColor="text1"/>
        </w:rPr>
        <w:t xml:space="preserve">13- </w:t>
      </w:r>
      <w:r w:rsidRPr="00EB1E9D">
        <w:rPr>
          <w:rFonts w:cs="Arial"/>
          <w:color w:val="000000" w:themeColor="text1"/>
          <w:highlight w:val="yellow"/>
        </w:rPr>
        <w:t>différence entre CIVD et fibrinolyse primitive</w:t>
      </w:r>
      <w:r w:rsidRPr="00EB1E9D">
        <w:rPr>
          <w:rFonts w:cs="Arial"/>
          <w:color w:val="000000" w:themeColor="text1"/>
        </w:rPr>
        <w:t> : présence de complexes solubles dans la CIVD</w:t>
      </w:r>
    </w:p>
    <w:p w:rsidR="000253D4" w:rsidRPr="00EB1E9D" w:rsidRDefault="000253D4" w:rsidP="00EB1E9D">
      <w:pPr>
        <w:rPr>
          <w:color w:val="000000" w:themeColor="text1"/>
        </w:rPr>
      </w:pPr>
      <w:r w:rsidRPr="00EB1E9D">
        <w:rPr>
          <w:rFonts w:cs="Arial"/>
          <w:color w:val="000000" w:themeColor="text1"/>
        </w:rPr>
        <w:t>14 :</w:t>
      </w:r>
      <w:r w:rsidRPr="00EB1E9D">
        <w:rPr>
          <w:color w:val="000000" w:themeColor="text1"/>
        </w:rPr>
        <w:t xml:space="preserve"> </w:t>
      </w:r>
      <w:r w:rsidRPr="00EB1E9D">
        <w:rPr>
          <w:color w:val="000000" w:themeColor="text1"/>
          <w:highlight w:val="yellow"/>
        </w:rPr>
        <w:t>polyglobulie vraie</w:t>
      </w:r>
      <w:r w:rsidRPr="00EB1E9D">
        <w:rPr>
          <w:color w:val="000000" w:themeColor="text1"/>
        </w:rPr>
        <w:t xml:space="preserve"> augmentation du volume globulaire total supérieure ou égale à 36 ml/Kg chez l'homme et 32 ml/Kg chez la femme</w:t>
      </w:r>
    </w:p>
    <w:p w:rsidR="006215D5" w:rsidRPr="00EB1E9D" w:rsidRDefault="000E1ECA" w:rsidP="00EB1E9D">
      <w:pPr>
        <w:rPr>
          <w:color w:val="000000" w:themeColor="text1"/>
        </w:rPr>
      </w:pPr>
      <w:r w:rsidRPr="00EB1E9D">
        <w:rPr>
          <w:color w:val="000000" w:themeColor="text1"/>
        </w:rPr>
        <w:t xml:space="preserve">42 : </w:t>
      </w:r>
      <w:r w:rsidRPr="00EB1E9D">
        <w:rPr>
          <w:color w:val="000000" w:themeColor="text1"/>
          <w:highlight w:val="yellow"/>
        </w:rPr>
        <w:t>anémie microcytaires hypochromes</w:t>
      </w:r>
      <w:r w:rsidRPr="00EB1E9D">
        <w:rPr>
          <w:color w:val="000000" w:themeColor="text1"/>
        </w:rPr>
        <w:t xml:space="preserve"> : anémies ferriprives, </w:t>
      </w:r>
      <w:proofErr w:type="spellStart"/>
      <w:r w:rsidRPr="00EB1E9D">
        <w:rPr>
          <w:color w:val="000000" w:themeColor="text1"/>
        </w:rPr>
        <w:t>Bthal</w:t>
      </w:r>
      <w:proofErr w:type="spellEnd"/>
      <w:r w:rsidRPr="00EB1E9D">
        <w:rPr>
          <w:color w:val="000000" w:themeColor="text1"/>
        </w:rPr>
        <w:t xml:space="preserve"> homozygote, rachitisme carentiel</w:t>
      </w:r>
      <w:r w:rsidR="00EB1E9D">
        <w:rPr>
          <w:color w:val="000000" w:themeColor="text1"/>
        </w:rPr>
        <w:t>, anémie inflammatoire</w:t>
      </w:r>
    </w:p>
    <w:p w:rsidR="006215D5" w:rsidRPr="00EB1E9D" w:rsidRDefault="008C4600" w:rsidP="00EB1E9D">
      <w:pPr>
        <w:rPr>
          <w:color w:val="000000" w:themeColor="text1"/>
        </w:rPr>
      </w:pPr>
      <w:r w:rsidRPr="00EB1E9D">
        <w:rPr>
          <w:color w:val="000000" w:themeColor="text1"/>
        </w:rPr>
        <w:t xml:space="preserve">55 </w:t>
      </w:r>
      <w:proofErr w:type="spellStart"/>
      <w:r w:rsidRPr="00EB1E9D">
        <w:rPr>
          <w:color w:val="000000" w:themeColor="text1"/>
          <w:highlight w:val="yellow"/>
        </w:rPr>
        <w:t>cryoprécipité</w:t>
      </w:r>
      <w:proofErr w:type="spellEnd"/>
      <w:r w:rsidRPr="00EB1E9D">
        <w:rPr>
          <w:color w:val="000000" w:themeColor="text1"/>
          <w:highlight w:val="yellow"/>
        </w:rPr>
        <w:t> indications</w:t>
      </w:r>
      <w:r w:rsidRPr="00EB1E9D">
        <w:rPr>
          <w:color w:val="000000" w:themeColor="text1"/>
        </w:rPr>
        <w:t xml:space="preserve"> : hémophilie A et maladie de </w:t>
      </w:r>
      <w:proofErr w:type="spellStart"/>
      <w:r w:rsidRPr="00EB1E9D">
        <w:rPr>
          <w:color w:val="000000" w:themeColor="text1"/>
        </w:rPr>
        <w:t>willebrand</w:t>
      </w:r>
      <w:proofErr w:type="spellEnd"/>
      <w:r w:rsidRPr="00EB1E9D">
        <w:rPr>
          <w:color w:val="000000" w:themeColor="text1"/>
        </w:rPr>
        <w:t xml:space="preserve">  </w:t>
      </w:r>
    </w:p>
    <w:p w:rsidR="006215D5" w:rsidRPr="00EB1E9D" w:rsidRDefault="006215D5" w:rsidP="00EB1E9D">
      <w:pPr>
        <w:rPr>
          <w:color w:val="000000" w:themeColor="text1"/>
        </w:rPr>
      </w:pPr>
    </w:p>
    <w:p w:rsidR="006215D5" w:rsidRPr="00EB1E9D" w:rsidRDefault="008C4600" w:rsidP="00EB1E9D">
      <w:pPr>
        <w:rPr>
          <w:color w:val="000000" w:themeColor="text1"/>
        </w:rPr>
      </w:pPr>
      <w:r w:rsidRPr="00EB1E9D">
        <w:rPr>
          <w:rFonts w:cs="Arial"/>
          <w:color w:val="000000" w:themeColor="text1"/>
          <w:highlight w:val="yellow"/>
        </w:rPr>
        <w:t xml:space="preserve">Les </w:t>
      </w:r>
      <w:proofErr w:type="spellStart"/>
      <w:r w:rsidRPr="00EB1E9D">
        <w:rPr>
          <w:rFonts w:cs="Arial"/>
          <w:color w:val="000000" w:themeColor="text1"/>
          <w:highlight w:val="yellow"/>
        </w:rPr>
        <w:t>sidéroblastes</w:t>
      </w:r>
      <w:proofErr w:type="spellEnd"/>
      <w:r w:rsidRPr="00EB1E9D">
        <w:rPr>
          <w:rFonts w:cs="Arial"/>
          <w:color w:val="000000" w:themeColor="text1"/>
        </w:rPr>
        <w:t xml:space="preserve"> sont des cellules de la moelle osseuse, de la lignée des globules rouges, dont le cytoplasme contient des inclusions ferriques qui ne sont liées à l'hémoglobine.</w:t>
      </w:r>
      <w:r w:rsidRPr="00EB1E9D">
        <w:rPr>
          <w:rFonts w:cs="Arial"/>
          <w:color w:val="000000" w:themeColor="text1"/>
        </w:rPr>
        <w:br/>
        <w:t xml:space="preserve">- Les anémies </w:t>
      </w:r>
      <w:proofErr w:type="spellStart"/>
      <w:r w:rsidRPr="00EB1E9D">
        <w:rPr>
          <w:rFonts w:cs="Arial"/>
          <w:color w:val="000000" w:themeColor="text1"/>
        </w:rPr>
        <w:t>sidéroblastiques</w:t>
      </w:r>
      <w:proofErr w:type="spellEnd"/>
      <w:r w:rsidRPr="00EB1E9D">
        <w:rPr>
          <w:rFonts w:cs="Arial"/>
          <w:color w:val="000000" w:themeColor="text1"/>
        </w:rPr>
        <w:t xml:space="preserve"> sont dues à une insuffisance de synthèse de l'hémoglobine (pigment des globules rouges servant au transport de </w:t>
      </w:r>
      <w:proofErr w:type="gramStart"/>
      <w:r w:rsidRPr="00EB1E9D">
        <w:rPr>
          <w:rFonts w:cs="Arial"/>
          <w:color w:val="000000" w:themeColor="text1"/>
        </w:rPr>
        <w:t>l'oxygène )</w:t>
      </w:r>
      <w:proofErr w:type="gramEnd"/>
      <w:r w:rsidRPr="00EB1E9D">
        <w:rPr>
          <w:rFonts w:cs="Arial"/>
          <w:color w:val="000000" w:themeColor="text1"/>
        </w:rPr>
        <w:t xml:space="preserve"> alors que le taux de fer sérique est normal voir élevé. Elles sont caractérisées par la présence de </w:t>
      </w:r>
      <w:proofErr w:type="spellStart"/>
      <w:r w:rsidRPr="00EB1E9D">
        <w:rPr>
          <w:rFonts w:cs="Arial"/>
          <w:color w:val="000000" w:themeColor="text1"/>
        </w:rPr>
        <w:t>sidéroblastes</w:t>
      </w:r>
      <w:proofErr w:type="spellEnd"/>
      <w:r w:rsidRPr="00EB1E9D">
        <w:rPr>
          <w:rFonts w:cs="Arial"/>
          <w:color w:val="000000" w:themeColor="text1"/>
        </w:rPr>
        <w:t xml:space="preserve"> en couronne traduisant la présence de </w:t>
      </w:r>
      <w:proofErr w:type="spellStart"/>
      <w:r w:rsidRPr="00EB1E9D">
        <w:rPr>
          <w:rFonts w:cs="Arial"/>
          <w:color w:val="000000" w:themeColor="text1"/>
        </w:rPr>
        <w:t>ferritine</w:t>
      </w:r>
      <w:proofErr w:type="spellEnd"/>
      <w:r w:rsidRPr="00EB1E9D">
        <w:rPr>
          <w:rFonts w:cs="Arial"/>
          <w:color w:val="000000" w:themeColor="text1"/>
        </w:rPr>
        <w:t xml:space="preserve"> dans les mitochondries.</w:t>
      </w:r>
      <w:r w:rsidRPr="00EB1E9D">
        <w:rPr>
          <w:rFonts w:cs="Arial"/>
          <w:color w:val="000000" w:themeColor="text1"/>
        </w:rPr>
        <w:br/>
        <w:t xml:space="preserve">- Les causes de ces anémies sont diverses </w:t>
      </w:r>
      <w:proofErr w:type="gramStart"/>
      <w:r w:rsidRPr="00EB1E9D">
        <w:rPr>
          <w:rFonts w:cs="Arial"/>
          <w:color w:val="000000" w:themeColor="text1"/>
        </w:rPr>
        <w:t>:</w:t>
      </w:r>
      <w:proofErr w:type="gramEnd"/>
      <w:r w:rsidRPr="00EB1E9D">
        <w:rPr>
          <w:rFonts w:cs="Arial"/>
          <w:color w:val="000000" w:themeColor="text1"/>
        </w:rPr>
        <w:br/>
        <w:t>-&gt; Congénitales comme les thalassémies...</w:t>
      </w:r>
    </w:p>
    <w:p w:rsidR="000253D4" w:rsidRPr="00EB1E9D" w:rsidRDefault="000253D4" w:rsidP="00EB1E9D">
      <w:pPr>
        <w:rPr>
          <w:color w:val="000000" w:themeColor="text1"/>
        </w:rPr>
      </w:pPr>
      <w:r w:rsidRPr="00EB1E9D">
        <w:rPr>
          <w:color w:val="000000" w:themeColor="text1"/>
          <w:highlight w:val="yellow"/>
        </w:rPr>
        <w:t>Définition CIVD</w:t>
      </w:r>
    </w:p>
    <w:p w:rsidR="000253D4" w:rsidRPr="00EB1E9D" w:rsidRDefault="000253D4" w:rsidP="00EB1E9D">
      <w:pPr>
        <w:pStyle w:val="Default"/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EB1E9D">
        <w:rPr>
          <w:rFonts w:asciiTheme="minorHAnsi" w:hAnsiTheme="minorHAnsi"/>
          <w:color w:val="000000" w:themeColor="text1"/>
          <w:sz w:val="22"/>
          <w:szCs w:val="22"/>
        </w:rPr>
        <w:t xml:space="preserve">La coagulation </w:t>
      </w:r>
      <w:proofErr w:type="spellStart"/>
      <w:r w:rsidRPr="00EB1E9D">
        <w:rPr>
          <w:rFonts w:asciiTheme="minorHAnsi" w:hAnsiTheme="minorHAnsi"/>
          <w:color w:val="000000" w:themeColor="text1"/>
          <w:sz w:val="22"/>
          <w:szCs w:val="22"/>
        </w:rPr>
        <w:t>intravasculaire</w:t>
      </w:r>
      <w:proofErr w:type="spellEnd"/>
      <w:r w:rsidRPr="00EB1E9D">
        <w:rPr>
          <w:rFonts w:asciiTheme="minorHAnsi" w:hAnsiTheme="minorHAnsi"/>
          <w:color w:val="000000" w:themeColor="text1"/>
          <w:sz w:val="22"/>
          <w:szCs w:val="22"/>
        </w:rPr>
        <w:t xml:space="preserve"> disséminée (CIVD) est un syndrome de défibrination lié à </w:t>
      </w:r>
      <w:r w:rsidRPr="00EB1E9D">
        <w:rPr>
          <w:rFonts w:asciiTheme="minorHAnsi" w:hAnsiTheme="minorHAnsi"/>
          <w:b/>
          <w:bCs/>
          <w:color w:val="000000" w:themeColor="text1"/>
          <w:sz w:val="22"/>
          <w:szCs w:val="22"/>
        </w:rPr>
        <w:t xml:space="preserve">un catabolisme excessif du </w:t>
      </w:r>
      <w:proofErr w:type="spellStart"/>
      <w:r w:rsidRPr="00EB1E9D">
        <w:rPr>
          <w:rFonts w:asciiTheme="minorHAnsi" w:hAnsiTheme="minorHAnsi"/>
          <w:b/>
          <w:bCs/>
          <w:color w:val="000000" w:themeColor="text1"/>
          <w:sz w:val="22"/>
          <w:szCs w:val="22"/>
        </w:rPr>
        <w:t>fibrinogéne</w:t>
      </w:r>
      <w:proofErr w:type="spellEnd"/>
      <w:r w:rsidRPr="00EB1E9D">
        <w:rPr>
          <w:rFonts w:asciiTheme="minorHAnsi" w:hAnsiTheme="minorHAnsi"/>
          <w:b/>
          <w:bCs/>
          <w:color w:val="000000" w:themeColor="text1"/>
          <w:sz w:val="22"/>
          <w:szCs w:val="22"/>
        </w:rPr>
        <w:t xml:space="preserve"> </w:t>
      </w:r>
      <w:r w:rsidRPr="00EB1E9D">
        <w:rPr>
          <w:rFonts w:asciiTheme="minorHAnsi" w:hAnsiTheme="minorHAnsi"/>
          <w:color w:val="000000" w:themeColor="text1"/>
          <w:sz w:val="22"/>
          <w:szCs w:val="22"/>
        </w:rPr>
        <w:t xml:space="preserve">dû à une libération massive de substances pro coagulantes dans l’espace vasculaire entraînant une activation excessive du processus de coagulation et une activation systémique de la thrombine. </w:t>
      </w:r>
    </w:p>
    <w:p w:rsidR="000253D4" w:rsidRDefault="000253D4" w:rsidP="00EB1E9D">
      <w:pPr>
        <w:rPr>
          <w:color w:val="000000" w:themeColor="text1"/>
        </w:rPr>
      </w:pPr>
      <w:r w:rsidRPr="00EB1E9D">
        <w:rPr>
          <w:rFonts w:cs="Wingdings 2"/>
          <w:color w:val="000000" w:themeColor="text1"/>
        </w:rPr>
        <w:t xml:space="preserve"> </w:t>
      </w:r>
      <w:r w:rsidRPr="00EB1E9D">
        <w:rPr>
          <w:color w:val="000000" w:themeColor="text1"/>
        </w:rPr>
        <w:t xml:space="preserve">Cette activation de la thrombine déborde rapidement ses inhibiteurs physiologiques. L’anabolisme hépatique du fibrinogène ne suffit pas à compenser le fort catabolisme de la protéine et il en résulte une </w:t>
      </w:r>
      <w:proofErr w:type="spellStart"/>
      <w:r w:rsidRPr="00EB1E9D">
        <w:rPr>
          <w:b/>
          <w:bCs/>
          <w:color w:val="000000" w:themeColor="text1"/>
        </w:rPr>
        <w:t>hypofibrinogénémie</w:t>
      </w:r>
      <w:proofErr w:type="spellEnd"/>
      <w:r w:rsidRPr="00EB1E9D">
        <w:rPr>
          <w:b/>
          <w:bCs/>
          <w:color w:val="000000" w:themeColor="text1"/>
        </w:rPr>
        <w:t xml:space="preserve"> </w:t>
      </w:r>
      <w:r w:rsidRPr="00EB1E9D">
        <w:rPr>
          <w:color w:val="000000" w:themeColor="text1"/>
        </w:rPr>
        <w:t xml:space="preserve">(taux du fibrinogène plasmatique &lt; 2 g/L). Il existe également une déplétion d’autres facteurs de coagulation consommables (le facteur V expliquant la baisse du temps de Quick) et une consommation de plaquettes (expliquant </w:t>
      </w:r>
      <w:r w:rsidRPr="00EB1E9D">
        <w:rPr>
          <w:b/>
          <w:bCs/>
          <w:color w:val="000000" w:themeColor="text1"/>
        </w:rPr>
        <w:t>la thrombopénie</w:t>
      </w:r>
      <w:r w:rsidRPr="00EB1E9D">
        <w:rPr>
          <w:color w:val="000000" w:themeColor="text1"/>
        </w:rPr>
        <w:t xml:space="preserve">). De plus, les facteurs inhibiteurs de la coagulation sont également consommés comme l’antithrombine III, expliquant la condition </w:t>
      </w:r>
      <w:proofErr w:type="spellStart"/>
      <w:r w:rsidRPr="00EB1E9D">
        <w:rPr>
          <w:color w:val="000000" w:themeColor="text1"/>
        </w:rPr>
        <w:t>prothrombogène</w:t>
      </w:r>
      <w:proofErr w:type="spellEnd"/>
      <w:r w:rsidRPr="00EB1E9D">
        <w:rPr>
          <w:color w:val="000000" w:themeColor="text1"/>
        </w:rPr>
        <w:t xml:space="preserve"> engendrée par le processus de CIVD. De tels phénomènes intriqués expliquent </w:t>
      </w:r>
      <w:r w:rsidRPr="00EB1E9D">
        <w:rPr>
          <w:b/>
          <w:bCs/>
          <w:color w:val="000000" w:themeColor="text1"/>
        </w:rPr>
        <w:t xml:space="preserve">le caractère à la fois hémorragique et </w:t>
      </w:r>
      <w:proofErr w:type="spellStart"/>
      <w:r w:rsidRPr="00EB1E9D">
        <w:rPr>
          <w:b/>
          <w:bCs/>
          <w:color w:val="000000" w:themeColor="text1"/>
        </w:rPr>
        <w:t>thrombosant</w:t>
      </w:r>
      <w:proofErr w:type="spellEnd"/>
      <w:r w:rsidRPr="00EB1E9D">
        <w:rPr>
          <w:b/>
          <w:bCs/>
          <w:color w:val="000000" w:themeColor="text1"/>
        </w:rPr>
        <w:t xml:space="preserve"> </w:t>
      </w:r>
      <w:r w:rsidRPr="00EB1E9D">
        <w:rPr>
          <w:color w:val="000000" w:themeColor="text1"/>
        </w:rPr>
        <w:t xml:space="preserve">des CIVD </w:t>
      </w:r>
      <w:r w:rsidRPr="00EB1E9D">
        <w:rPr>
          <w:b/>
          <w:bCs/>
          <w:color w:val="000000" w:themeColor="text1"/>
        </w:rPr>
        <w:t>(Figure 1)</w:t>
      </w:r>
      <w:r w:rsidRPr="00EB1E9D">
        <w:rPr>
          <w:color w:val="000000" w:themeColor="text1"/>
        </w:rPr>
        <w:t>.</w:t>
      </w:r>
    </w:p>
    <w:p w:rsidR="00E72AD4" w:rsidRDefault="00E72AD4" w:rsidP="00EB1E9D">
      <w:pPr>
        <w:rPr>
          <w:color w:val="000000" w:themeColor="text1"/>
        </w:rPr>
      </w:pPr>
    </w:p>
    <w:p w:rsidR="004C1937" w:rsidRDefault="004C1937" w:rsidP="00EB1E9D">
      <w:pPr>
        <w:rPr>
          <w:rFonts w:ascii="Arial" w:hAnsi="Arial" w:cs="Arial"/>
          <w:b/>
          <w:bCs/>
          <w:color w:val="000066"/>
          <w:sz w:val="36"/>
          <w:szCs w:val="36"/>
        </w:rPr>
      </w:pPr>
      <w:r>
        <w:rPr>
          <w:rFonts w:ascii="Arial" w:hAnsi="Arial" w:cs="Arial"/>
          <w:b/>
          <w:bCs/>
          <w:color w:val="000066"/>
          <w:sz w:val="36"/>
          <w:szCs w:val="36"/>
        </w:rPr>
        <w:t xml:space="preserve">La leucémie à </w:t>
      </w:r>
      <w:proofErr w:type="spellStart"/>
      <w:r>
        <w:rPr>
          <w:rFonts w:ascii="Arial" w:hAnsi="Arial" w:cs="Arial"/>
          <w:b/>
          <w:bCs/>
          <w:color w:val="000066"/>
          <w:sz w:val="36"/>
          <w:szCs w:val="36"/>
        </w:rPr>
        <w:t>tricholeucocytes</w:t>
      </w:r>
      <w:proofErr w:type="spellEnd"/>
    </w:p>
    <w:p w:rsidR="004C1937" w:rsidRDefault="004C1937" w:rsidP="004C19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C’est une </w:t>
      </w:r>
      <w:r>
        <w:rPr>
          <w:rFonts w:ascii="Arial" w:hAnsi="Arial" w:cs="Arial"/>
          <w:b/>
          <w:bCs/>
        </w:rPr>
        <w:t>hémopathie lymphoïde chronique à cellules B matures de  Morphologie particulière.</w:t>
      </w:r>
    </w:p>
    <w:p w:rsidR="004C1937" w:rsidRDefault="004C1937" w:rsidP="004C19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66"/>
        </w:rPr>
      </w:pPr>
      <w:r>
        <w:rPr>
          <w:rFonts w:ascii="Arial" w:hAnsi="Arial" w:cs="Arial"/>
          <w:b/>
          <w:bCs/>
          <w:color w:val="000066"/>
        </w:rPr>
        <w:t>La présentation habituelle est celle d’un patient avec splénomégalie et</w:t>
      </w:r>
    </w:p>
    <w:p w:rsidR="004C1937" w:rsidRDefault="004C1937" w:rsidP="004C1937">
      <w:pPr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66"/>
        </w:rPr>
        <w:t>pancytopénie</w:t>
      </w:r>
      <w:proofErr w:type="gramEnd"/>
      <w:r>
        <w:rPr>
          <w:rFonts w:ascii="Arial" w:hAnsi="Arial" w:cs="Arial"/>
          <w:color w:val="000000"/>
        </w:rPr>
        <w:t>.</w:t>
      </w:r>
    </w:p>
    <w:p w:rsidR="004C1937" w:rsidRDefault="004C1937" w:rsidP="004C1937">
      <w:pPr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Trt</w:t>
      </w:r>
      <w:proofErr w:type="spellEnd"/>
      <w:r>
        <w:rPr>
          <w:rFonts w:ascii="Arial" w:hAnsi="Arial" w:cs="Arial"/>
          <w:color w:val="000000"/>
        </w:rPr>
        <w:t xml:space="preserve"> : </w:t>
      </w:r>
      <w:proofErr w:type="spellStart"/>
      <w:r>
        <w:rPr>
          <w:rFonts w:ascii="Arial" w:hAnsi="Arial" w:cs="Arial"/>
          <w:color w:val="000000"/>
        </w:rPr>
        <w:t>monochimiotherapie</w:t>
      </w:r>
      <w:proofErr w:type="spellEnd"/>
    </w:p>
    <w:p w:rsidR="00874F0A" w:rsidRPr="00AD661C" w:rsidRDefault="00874F0A" w:rsidP="00874F0A">
      <w:pPr>
        <w:rPr>
          <w:color w:val="000000" w:themeColor="text1"/>
          <w:lang w:val="en-US"/>
        </w:rPr>
      </w:pPr>
    </w:p>
    <w:sectPr w:rsidR="00874F0A" w:rsidRPr="00AD661C" w:rsidSect="005165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altName w:val="Comic Sans MS Gra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altName w:val="Wing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02C0E"/>
    <w:rsid w:val="000253D4"/>
    <w:rsid w:val="000E1ECA"/>
    <w:rsid w:val="00233A96"/>
    <w:rsid w:val="002D2EBA"/>
    <w:rsid w:val="002E2E58"/>
    <w:rsid w:val="004C1937"/>
    <w:rsid w:val="005165D2"/>
    <w:rsid w:val="005A17AD"/>
    <w:rsid w:val="006215D5"/>
    <w:rsid w:val="00740589"/>
    <w:rsid w:val="00874F0A"/>
    <w:rsid w:val="008C4600"/>
    <w:rsid w:val="009617EC"/>
    <w:rsid w:val="00A70056"/>
    <w:rsid w:val="00AD661C"/>
    <w:rsid w:val="00CC62DF"/>
    <w:rsid w:val="00E72AD4"/>
    <w:rsid w:val="00EB1E9D"/>
    <w:rsid w:val="00F02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5D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233A96"/>
    <w:rPr>
      <w:b/>
      <w:bCs/>
      <w:i w:val="0"/>
      <w:iCs w:val="0"/>
    </w:rPr>
  </w:style>
  <w:style w:type="paragraph" w:customStyle="1" w:styleId="Default">
    <w:name w:val="Default"/>
    <w:rsid w:val="000253D4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380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2010-03-08T16:38:00Z</dcterms:created>
  <dcterms:modified xsi:type="dcterms:W3CDTF">2010-03-08T20:27:00Z</dcterms:modified>
</cp:coreProperties>
</file>