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2128B5" w:rsidRDefault="002128B5" w:rsidP="002128B5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18 </w:t>
      </w:r>
      <w:r w:rsidRPr="002128B5">
        <w:rPr>
          <w:b/>
          <w:bCs/>
          <w:color w:val="FF0000"/>
        </w:rPr>
        <w:t>POLYNEUROPATHIES</w:t>
      </w:r>
    </w:p>
    <w:p w:rsidR="002128B5" w:rsidRDefault="002128B5" w:rsidP="00A35BEC">
      <w:pPr>
        <w:pStyle w:val="Paragraphedeliste"/>
        <w:numPr>
          <w:ilvl w:val="0"/>
          <w:numId w:val="1"/>
        </w:numPr>
      </w:pPr>
      <w:r>
        <w:t xml:space="preserve">Atteinte diffuse et </w:t>
      </w:r>
      <w:r w:rsidRPr="00A16ECD">
        <w:rPr>
          <w:highlight w:val="yellow"/>
        </w:rPr>
        <w:t>symétrique</w:t>
      </w:r>
      <w:r>
        <w:t xml:space="preserve"> du SNP</w:t>
      </w:r>
      <w:r w:rsidR="00254A2B">
        <w:t xml:space="preserve"> (sensitif, moteur et végétatif) se manifestant  par des troubles neurologiques symétriques à prédominance </w:t>
      </w:r>
      <w:r w:rsidR="00254A2B" w:rsidRPr="00B22D38">
        <w:rPr>
          <w:highlight w:val="yellow"/>
        </w:rPr>
        <w:t>distale</w:t>
      </w:r>
      <w:r w:rsidR="00A35BEC">
        <w:t xml:space="preserve"> </w:t>
      </w:r>
    </w:p>
    <w:p w:rsidR="004C1AB0" w:rsidRDefault="00254A2B" w:rsidP="00A35BEC">
      <w:pPr>
        <w:pStyle w:val="Paragraphedeliste"/>
        <w:numPr>
          <w:ilvl w:val="0"/>
          <w:numId w:val="1"/>
        </w:numPr>
      </w:pPr>
      <w:r>
        <w:t xml:space="preserve">L’axone joue un rôle trophique sur les cellules de Schwann </w:t>
      </w:r>
      <w:proofErr w:type="spellStart"/>
      <w:r>
        <w:t>myélinisantes</w:t>
      </w:r>
      <w:proofErr w:type="spellEnd"/>
      <w:r w:rsidR="004C1AB0">
        <w:t xml:space="preserve"> et assure le maintien et l’intégrité des gaines de myéline</w:t>
      </w:r>
    </w:p>
    <w:p w:rsidR="00254A2B" w:rsidRDefault="004C1AB0" w:rsidP="00A35BEC">
      <w:pPr>
        <w:pStyle w:val="Paragraphedeliste"/>
        <w:numPr>
          <w:ilvl w:val="0"/>
          <w:numId w:val="1"/>
        </w:numPr>
      </w:pPr>
      <w:r>
        <w:t>Les cellules de Schwann jouent un rôle dans la régénérescence des fibres nerveuses périphériques</w:t>
      </w:r>
      <w:r w:rsidR="00254A2B">
        <w:t xml:space="preserve"> </w:t>
      </w:r>
    </w:p>
    <w:p w:rsidR="004C1AB0" w:rsidRDefault="004C1AB0" w:rsidP="004C1AB0">
      <w:r w:rsidRPr="002359BB">
        <w:rPr>
          <w:b/>
          <w:bCs/>
          <w:color w:val="FF0000"/>
        </w:rPr>
        <w:t>Pathogénie :</w:t>
      </w:r>
      <w:r>
        <w:t xml:space="preserve"> 2 processus</w:t>
      </w:r>
    </w:p>
    <w:p w:rsidR="004C1AB0" w:rsidRDefault="004C1AB0" w:rsidP="00A35BEC">
      <w:pPr>
        <w:pStyle w:val="Paragraphedeliste"/>
        <w:numPr>
          <w:ilvl w:val="0"/>
          <w:numId w:val="1"/>
        </w:numPr>
      </w:pPr>
      <w:r w:rsidRPr="00B22D38">
        <w:rPr>
          <w:b/>
          <w:bCs/>
        </w:rPr>
        <w:t xml:space="preserve">Dégénérescence </w:t>
      </w:r>
      <w:proofErr w:type="spellStart"/>
      <w:r w:rsidRPr="00B22D38">
        <w:rPr>
          <w:b/>
          <w:bCs/>
        </w:rPr>
        <w:t>axonale</w:t>
      </w:r>
      <w:proofErr w:type="spellEnd"/>
      <w:r>
        <w:t xml:space="preserve"> (atteinte primitive du corps cellulaire et de l’axone) : la </w:t>
      </w:r>
      <w:r w:rsidRPr="00B22D38">
        <w:rPr>
          <w:highlight w:val="yellow"/>
        </w:rPr>
        <w:t>régénération</w:t>
      </w:r>
      <w:r>
        <w:t xml:space="preserve"> est </w:t>
      </w:r>
      <w:r w:rsidRPr="00B22D38">
        <w:rPr>
          <w:highlight w:val="yellow"/>
        </w:rPr>
        <w:t>lente et incomplète</w:t>
      </w:r>
      <w:r>
        <w:t>. Elle prédomine dans les PNP carentielles, ischémiques et toxiques</w:t>
      </w:r>
    </w:p>
    <w:p w:rsidR="004C1AB0" w:rsidRDefault="004C1AB0" w:rsidP="004C1AB0">
      <w:pPr>
        <w:pStyle w:val="Paragraphedeliste"/>
        <w:numPr>
          <w:ilvl w:val="0"/>
          <w:numId w:val="1"/>
        </w:numPr>
      </w:pPr>
      <w:r w:rsidRPr="00B22D38">
        <w:rPr>
          <w:b/>
          <w:bCs/>
        </w:rPr>
        <w:t>L’atteinte démyélinisante</w:t>
      </w:r>
      <w:r>
        <w:t xml:space="preserve"> (atteinte primitive de la cellule de Schwann) </w:t>
      </w:r>
      <w:r w:rsidRPr="00B22D38">
        <w:rPr>
          <w:highlight w:val="yellow"/>
        </w:rPr>
        <w:t>régénération rapide et incomplète</w:t>
      </w:r>
      <w:r>
        <w:t xml:space="preserve">. Prédomine dans les PNP diabétiques et le Sd de </w:t>
      </w:r>
      <w:proofErr w:type="spellStart"/>
      <w:r>
        <w:t>Guillan</w:t>
      </w:r>
      <w:proofErr w:type="spellEnd"/>
      <w:r>
        <w:t xml:space="preserve"> Barré</w:t>
      </w:r>
    </w:p>
    <w:p w:rsidR="002128B5" w:rsidRPr="002359BB" w:rsidRDefault="004C1AB0">
      <w:pPr>
        <w:rPr>
          <w:b/>
          <w:bCs/>
          <w:color w:val="FF0000"/>
        </w:rPr>
      </w:pPr>
      <w:r w:rsidRPr="002359BB">
        <w:rPr>
          <w:b/>
          <w:bCs/>
          <w:color w:val="FF0000"/>
        </w:rPr>
        <w:t>Clinique :</w:t>
      </w:r>
    </w:p>
    <w:p w:rsidR="002024B1" w:rsidRPr="002359BB" w:rsidRDefault="002024B1" w:rsidP="002024B1">
      <w:pPr>
        <w:pStyle w:val="Paragraphedeliste"/>
        <w:numPr>
          <w:ilvl w:val="0"/>
          <w:numId w:val="1"/>
        </w:numPr>
        <w:rPr>
          <w:b/>
          <w:bCs/>
        </w:rPr>
      </w:pPr>
      <w:r w:rsidRPr="002359BB">
        <w:rPr>
          <w:b/>
          <w:bCs/>
        </w:rPr>
        <w:t xml:space="preserve">les troubles sensitifs </w:t>
      </w:r>
    </w:p>
    <w:p w:rsidR="004C1AB0" w:rsidRDefault="002024B1" w:rsidP="002024B1">
      <w:pPr>
        <w:pStyle w:val="Paragraphedeliste"/>
        <w:numPr>
          <w:ilvl w:val="0"/>
          <w:numId w:val="2"/>
        </w:numPr>
      </w:pPr>
      <w:r>
        <w:t>subjectifs (au début): fourmillements, paresthésie à recrudescence nocturne</w:t>
      </w:r>
    </w:p>
    <w:p w:rsidR="002024B1" w:rsidRDefault="002024B1" w:rsidP="002024B1">
      <w:pPr>
        <w:pStyle w:val="Paragraphedeliste"/>
        <w:numPr>
          <w:ilvl w:val="0"/>
          <w:numId w:val="2"/>
        </w:numPr>
      </w:pPr>
      <w:r>
        <w:t>objectifs : superficiels (</w:t>
      </w:r>
      <w:r w:rsidRPr="00912931">
        <w:rPr>
          <w:highlight w:val="yellow"/>
        </w:rPr>
        <w:t>hypoesthésie à tous les modes en chaussette ou en gant</w:t>
      </w:r>
      <w:r>
        <w:t>) profonde (ataxie, perturbation du sens de position segmentaire et de la sensibilité vibratoire au diapason</w:t>
      </w:r>
    </w:p>
    <w:p w:rsidR="002359BB" w:rsidRDefault="002359BB" w:rsidP="002359BB">
      <w:pPr>
        <w:pStyle w:val="Paragraphedeliste"/>
      </w:pPr>
    </w:p>
    <w:p w:rsidR="002024B1" w:rsidRDefault="002024B1" w:rsidP="002024B1">
      <w:pPr>
        <w:pStyle w:val="Paragraphedeliste"/>
        <w:numPr>
          <w:ilvl w:val="0"/>
          <w:numId w:val="1"/>
        </w:numPr>
      </w:pPr>
      <w:r w:rsidRPr="002359BB">
        <w:rPr>
          <w:b/>
          <w:bCs/>
        </w:rPr>
        <w:t>les troubles moteurs :</w:t>
      </w:r>
      <w:r>
        <w:t xml:space="preserve"> faiblesse musculaire prédominant aux membres inférieurs</w:t>
      </w:r>
    </w:p>
    <w:p w:rsidR="002024B1" w:rsidRDefault="002024B1" w:rsidP="002359BB">
      <w:pPr>
        <w:pStyle w:val="Paragraphedeliste"/>
        <w:numPr>
          <w:ilvl w:val="0"/>
          <w:numId w:val="1"/>
        </w:numPr>
      </w:pPr>
      <w:r>
        <w:t>amyotrophie des muscles distaux des 4 membres (</w:t>
      </w:r>
      <w:r w:rsidR="002359BB">
        <w:t xml:space="preserve">dans les cas sévères : </w:t>
      </w:r>
      <w:r>
        <w:t xml:space="preserve">prédomine sur les loges </w:t>
      </w:r>
      <w:proofErr w:type="spellStart"/>
      <w:r>
        <w:t>ant</w:t>
      </w:r>
      <w:r w:rsidR="002359BB">
        <w:t>é</w:t>
      </w:r>
      <w:r>
        <w:t>ro</w:t>
      </w:r>
      <w:proofErr w:type="spellEnd"/>
      <w:r>
        <w:t>-externe des jambes </w:t>
      </w:r>
      <w:r w:rsidR="002359BB">
        <w:t>avec</w:t>
      </w:r>
      <w:r>
        <w:t xml:space="preserve"> steppage)</w:t>
      </w:r>
    </w:p>
    <w:p w:rsidR="002359BB" w:rsidRDefault="002359BB" w:rsidP="002359BB">
      <w:pPr>
        <w:pStyle w:val="Paragraphedeliste"/>
        <w:numPr>
          <w:ilvl w:val="0"/>
          <w:numId w:val="1"/>
        </w:numPr>
      </w:pPr>
      <w:r>
        <w:t xml:space="preserve">ROT diminués ou abolis </w:t>
      </w:r>
      <w:r w:rsidRPr="00B22D38">
        <w:rPr>
          <w:highlight w:val="yellow"/>
        </w:rPr>
        <w:t>(achilléens en 1</w:t>
      </w:r>
      <w:r w:rsidRPr="00B22D38">
        <w:rPr>
          <w:highlight w:val="yellow"/>
          <w:vertAlign w:val="superscript"/>
        </w:rPr>
        <w:t>er</w:t>
      </w:r>
      <w:r w:rsidRPr="00B22D38">
        <w:rPr>
          <w:highlight w:val="yellow"/>
        </w:rPr>
        <w:t>)</w:t>
      </w:r>
    </w:p>
    <w:p w:rsidR="002359BB" w:rsidRDefault="002359BB" w:rsidP="002359BB">
      <w:pPr>
        <w:pStyle w:val="Paragraphedeliste"/>
      </w:pPr>
    </w:p>
    <w:p w:rsidR="002359BB" w:rsidRDefault="002359BB" w:rsidP="002359BB">
      <w:pPr>
        <w:pStyle w:val="Paragraphedeliste"/>
        <w:numPr>
          <w:ilvl w:val="0"/>
          <w:numId w:val="1"/>
        </w:numPr>
      </w:pPr>
      <w:r w:rsidRPr="002359BB">
        <w:rPr>
          <w:b/>
          <w:bCs/>
        </w:rPr>
        <w:t>Troubles trophiques et vasomoteurs</w:t>
      </w:r>
      <w:r>
        <w:t xml:space="preserve"> (œdème et hypersudation)</w:t>
      </w:r>
    </w:p>
    <w:p w:rsidR="002359BB" w:rsidRDefault="002359BB" w:rsidP="002359BB">
      <w:pPr>
        <w:pStyle w:val="Paragraphedeliste"/>
        <w:numPr>
          <w:ilvl w:val="0"/>
          <w:numId w:val="1"/>
        </w:numPr>
      </w:pPr>
      <w:r>
        <w:t>Atteinte des nerfs crâniens au cours de l’évolution</w:t>
      </w:r>
    </w:p>
    <w:p w:rsidR="002359BB" w:rsidRDefault="002359BB" w:rsidP="002359BB">
      <w:r w:rsidRPr="002359BB">
        <w:rPr>
          <w:b/>
          <w:bCs/>
          <w:color w:val="FF0000"/>
        </w:rPr>
        <w:t>EMG :</w:t>
      </w:r>
      <w:r>
        <w:t xml:space="preserve"> tracé de type </w:t>
      </w:r>
      <w:proofErr w:type="spellStart"/>
      <w:r>
        <w:t>neurogène</w:t>
      </w:r>
      <w:proofErr w:type="spellEnd"/>
      <w:r>
        <w:t xml:space="preserve"> avec diminution de la vitesse de conduction nerveuse motrice </w:t>
      </w:r>
    </w:p>
    <w:p w:rsidR="002359BB" w:rsidRPr="002359BB" w:rsidRDefault="002359BB" w:rsidP="002359BB">
      <w:pPr>
        <w:rPr>
          <w:b/>
          <w:bCs/>
          <w:color w:val="FF0000"/>
        </w:rPr>
      </w:pPr>
      <w:r w:rsidRPr="002359BB">
        <w:rPr>
          <w:b/>
          <w:bCs/>
          <w:color w:val="FF0000"/>
        </w:rPr>
        <w:t xml:space="preserve">Etiologies : </w:t>
      </w:r>
    </w:p>
    <w:p w:rsidR="002359BB" w:rsidRDefault="002359BB" w:rsidP="002359BB">
      <w:pPr>
        <w:pStyle w:val="Paragraphedeliste"/>
        <w:numPr>
          <w:ilvl w:val="0"/>
          <w:numId w:val="3"/>
        </w:numPr>
      </w:pPr>
      <w:r w:rsidRPr="00A7211B">
        <w:rPr>
          <w:b/>
          <w:bCs/>
        </w:rPr>
        <w:t>PNP carentielles</w:t>
      </w:r>
      <w:r w:rsidR="003306FC" w:rsidRPr="00A7211B">
        <w:rPr>
          <w:b/>
          <w:bCs/>
        </w:rPr>
        <w:t> :</w:t>
      </w:r>
      <w:r w:rsidR="003306FC">
        <w:t xml:space="preserve"> déficit essentiellement sensitif</w:t>
      </w:r>
    </w:p>
    <w:p w:rsidR="002359BB" w:rsidRDefault="002359BB" w:rsidP="003306FC">
      <w:pPr>
        <w:pStyle w:val="Paragraphedeliste"/>
        <w:numPr>
          <w:ilvl w:val="0"/>
          <w:numId w:val="1"/>
        </w:numPr>
      </w:pPr>
      <w:r>
        <w:t>Carences vit B1 (thiamine):</w:t>
      </w:r>
      <w:r w:rsidR="003306FC">
        <w:t xml:space="preserve"> alcoolisme chronique et Béribérie, </w:t>
      </w:r>
    </w:p>
    <w:p w:rsidR="002359BB" w:rsidRDefault="002359BB" w:rsidP="003306FC">
      <w:pPr>
        <w:pStyle w:val="Paragraphedeliste"/>
        <w:numPr>
          <w:ilvl w:val="0"/>
          <w:numId w:val="1"/>
        </w:numPr>
      </w:pPr>
      <w:r>
        <w:t>Carences vit PP</w:t>
      </w:r>
      <w:r w:rsidR="003306FC">
        <w:t xml:space="preserve"> (la pellagre) : érythème, confusion, </w:t>
      </w:r>
    </w:p>
    <w:p w:rsidR="003306FC" w:rsidRDefault="002359BB" w:rsidP="002359BB">
      <w:pPr>
        <w:pStyle w:val="Paragraphedeliste"/>
        <w:numPr>
          <w:ilvl w:val="0"/>
          <w:numId w:val="1"/>
        </w:numPr>
      </w:pPr>
      <w:r>
        <w:t>Carences vit B6</w:t>
      </w:r>
      <w:r w:rsidR="003306FC">
        <w:t xml:space="preserve"> (pyridoxine) : action agoniste de certains médicaments (INH, </w:t>
      </w:r>
      <w:proofErr w:type="spellStart"/>
      <w:r w:rsidR="003306FC">
        <w:t>penicillamine</w:t>
      </w:r>
      <w:proofErr w:type="spellEnd"/>
      <w:r w:rsidR="003306FC">
        <w:t>)</w:t>
      </w:r>
      <w:r w:rsidR="003306FC" w:rsidRPr="003306FC">
        <w:t xml:space="preserve"> </w:t>
      </w:r>
    </w:p>
    <w:p w:rsidR="002359BB" w:rsidRDefault="002359BB" w:rsidP="003306FC">
      <w:pPr>
        <w:pStyle w:val="Paragraphedeliste"/>
        <w:numPr>
          <w:ilvl w:val="0"/>
          <w:numId w:val="1"/>
        </w:numPr>
      </w:pPr>
      <w:r>
        <w:t>Carences vit B12</w:t>
      </w:r>
      <w:r w:rsidR="003306FC">
        <w:t xml:space="preserve">, </w:t>
      </w:r>
      <w:r>
        <w:t>B9 (</w:t>
      </w:r>
      <w:proofErr w:type="spellStart"/>
      <w:r>
        <w:t>folate</w:t>
      </w:r>
      <w:proofErr w:type="spellEnd"/>
      <w:r>
        <w:t>)</w:t>
      </w:r>
      <w:r w:rsidR="003306FC">
        <w:t xml:space="preserve"> et vit E</w:t>
      </w:r>
    </w:p>
    <w:p w:rsidR="002359BB" w:rsidRDefault="002359BB" w:rsidP="002359BB">
      <w:pPr>
        <w:pStyle w:val="Paragraphedeliste"/>
      </w:pPr>
    </w:p>
    <w:p w:rsidR="002359BB" w:rsidRPr="00A7211B" w:rsidRDefault="002359BB" w:rsidP="002359BB">
      <w:pPr>
        <w:pStyle w:val="Paragraphedeliste"/>
        <w:numPr>
          <w:ilvl w:val="0"/>
          <w:numId w:val="3"/>
        </w:numPr>
        <w:rPr>
          <w:b/>
          <w:bCs/>
        </w:rPr>
      </w:pPr>
      <w:r w:rsidRPr="00A7211B">
        <w:rPr>
          <w:b/>
          <w:bCs/>
        </w:rPr>
        <w:t>PNP métaboliques et endocriniennes</w:t>
      </w:r>
    </w:p>
    <w:p w:rsidR="003306FC" w:rsidRPr="00A7211B" w:rsidRDefault="003306FC" w:rsidP="003306FC">
      <w:pPr>
        <w:pStyle w:val="Paragraphedeliste"/>
        <w:numPr>
          <w:ilvl w:val="0"/>
          <w:numId w:val="1"/>
        </w:numPr>
        <w:rPr>
          <w:color w:val="FF0000"/>
        </w:rPr>
      </w:pPr>
      <w:r w:rsidRPr="00A7211B">
        <w:rPr>
          <w:color w:val="FF0000"/>
        </w:rPr>
        <w:t xml:space="preserve">PNP diabétique : </w:t>
      </w:r>
    </w:p>
    <w:p w:rsidR="00A7211B" w:rsidRDefault="003306FC" w:rsidP="00A7211B">
      <w:pPr>
        <w:pStyle w:val="Paragraphedeliste"/>
        <w:numPr>
          <w:ilvl w:val="0"/>
          <w:numId w:val="2"/>
        </w:numPr>
      </w:pPr>
      <w:r>
        <w:t>PNP sensitive chronique </w:t>
      </w:r>
      <w:r w:rsidR="00A7211B">
        <w:t>qui régresse lorsque le diabète est bien équilibré</w:t>
      </w:r>
    </w:p>
    <w:p w:rsidR="003306FC" w:rsidRDefault="003306FC" w:rsidP="00A7211B">
      <w:pPr>
        <w:pStyle w:val="Paragraphedeliste"/>
      </w:pPr>
      <w:r>
        <w:t xml:space="preserve">EMG montre une dégénérescence </w:t>
      </w:r>
      <w:proofErr w:type="spellStart"/>
      <w:r>
        <w:t>axonale</w:t>
      </w:r>
      <w:proofErr w:type="spellEnd"/>
      <w:r w:rsidR="00A7211B">
        <w:t xml:space="preserve"> avec </w:t>
      </w:r>
      <w:r>
        <w:t>démyéli</w:t>
      </w:r>
      <w:r w:rsidR="00A7211B">
        <w:t xml:space="preserve">nisation </w:t>
      </w:r>
      <w:proofErr w:type="spellStart"/>
      <w:r w:rsidR="00A7211B">
        <w:t>ségmentaire</w:t>
      </w:r>
      <w:proofErr w:type="spellEnd"/>
      <w:r w:rsidR="00A7211B">
        <w:t xml:space="preserve"> secondaire</w:t>
      </w:r>
    </w:p>
    <w:p w:rsidR="00A7211B" w:rsidRDefault="00A7211B" w:rsidP="00A7211B">
      <w:pPr>
        <w:pStyle w:val="Paragraphedeliste"/>
        <w:numPr>
          <w:ilvl w:val="0"/>
          <w:numId w:val="2"/>
        </w:numPr>
      </w:pPr>
      <w:r>
        <w:t>PNP végétative (hypotension, sudation, impuissance, troubles vésicales)</w:t>
      </w:r>
    </w:p>
    <w:p w:rsidR="00A7211B" w:rsidRDefault="00A7211B" w:rsidP="00A7211B">
      <w:pPr>
        <w:pStyle w:val="Paragraphedeliste"/>
        <w:numPr>
          <w:ilvl w:val="0"/>
          <w:numId w:val="2"/>
        </w:numPr>
      </w:pPr>
      <w:r>
        <w:t>PNP motrice, multifocale (nerfs crâniens)</w:t>
      </w:r>
    </w:p>
    <w:p w:rsidR="00A7211B" w:rsidRDefault="00A7211B" w:rsidP="00A7211B">
      <w:pPr>
        <w:pStyle w:val="Paragraphedeliste"/>
        <w:numPr>
          <w:ilvl w:val="0"/>
          <w:numId w:val="2"/>
        </w:numPr>
      </w:pPr>
      <w:r>
        <w:t xml:space="preserve">PNP </w:t>
      </w:r>
      <w:proofErr w:type="spellStart"/>
      <w:r>
        <w:t>amyotrophiante</w:t>
      </w:r>
      <w:proofErr w:type="spellEnd"/>
      <w:r>
        <w:t xml:space="preserve"> (décompensation) : asymétrique et proximale</w:t>
      </w:r>
    </w:p>
    <w:p w:rsidR="003306FC" w:rsidRDefault="003306FC" w:rsidP="003306FC">
      <w:pPr>
        <w:pStyle w:val="Paragraphedeliste"/>
      </w:pPr>
      <w:r>
        <w:t xml:space="preserve"> </w:t>
      </w:r>
    </w:p>
    <w:p w:rsidR="003306FC" w:rsidRDefault="003306FC" w:rsidP="003306FC">
      <w:pPr>
        <w:pStyle w:val="Paragraphedeliste"/>
        <w:numPr>
          <w:ilvl w:val="0"/>
          <w:numId w:val="1"/>
        </w:numPr>
      </w:pPr>
      <w:r w:rsidRPr="00A7211B">
        <w:rPr>
          <w:color w:val="FF0000"/>
        </w:rPr>
        <w:t>Neuropathie de l’insuffisance rénale</w:t>
      </w:r>
      <w:r w:rsidR="00A7211B" w:rsidRPr="00A7211B">
        <w:rPr>
          <w:color w:val="FF0000"/>
        </w:rPr>
        <w:t xml:space="preserve"> sévère :</w:t>
      </w:r>
      <w:r w:rsidR="00A7211B">
        <w:t xml:space="preserve"> syndrome de jambes impatientes </w:t>
      </w:r>
    </w:p>
    <w:p w:rsidR="003306FC" w:rsidRDefault="003306FC" w:rsidP="003306FC">
      <w:pPr>
        <w:pStyle w:val="Paragraphedeliste"/>
        <w:numPr>
          <w:ilvl w:val="0"/>
          <w:numId w:val="1"/>
        </w:numPr>
      </w:pPr>
      <w:r w:rsidRPr="00A7211B">
        <w:rPr>
          <w:color w:val="FF0000"/>
        </w:rPr>
        <w:t>Neuropathie des porphyries aigues</w:t>
      </w:r>
      <w:r w:rsidR="00A7211B" w:rsidRPr="00A7211B">
        <w:rPr>
          <w:color w:val="FF0000"/>
        </w:rPr>
        <w:t> :</w:t>
      </w:r>
      <w:r w:rsidR="00A7211B">
        <w:t xml:space="preserve"> prédominance motrice</w:t>
      </w:r>
    </w:p>
    <w:p w:rsidR="003306FC" w:rsidRDefault="003306FC" w:rsidP="003306FC">
      <w:pPr>
        <w:pStyle w:val="Paragraphedeliste"/>
        <w:numPr>
          <w:ilvl w:val="0"/>
          <w:numId w:val="1"/>
        </w:numPr>
      </w:pPr>
      <w:r w:rsidRPr="00A06637">
        <w:rPr>
          <w:color w:val="FF0000"/>
        </w:rPr>
        <w:t>Hypothyroïdie</w:t>
      </w:r>
      <w:r w:rsidR="00A06637" w:rsidRPr="00A06637">
        <w:rPr>
          <w:color w:val="FF0000"/>
        </w:rPr>
        <w:t> :</w:t>
      </w:r>
      <w:r w:rsidR="00A06637">
        <w:t xml:space="preserve"> syndrome du canal carpien</w:t>
      </w:r>
    </w:p>
    <w:p w:rsidR="002359BB" w:rsidRDefault="002359BB" w:rsidP="002359BB">
      <w:pPr>
        <w:pStyle w:val="Paragraphedeliste"/>
      </w:pPr>
      <w:r>
        <w:t xml:space="preserve"> </w:t>
      </w:r>
    </w:p>
    <w:p w:rsidR="002359BB" w:rsidRPr="00A06637" w:rsidRDefault="002359BB" w:rsidP="002359BB">
      <w:pPr>
        <w:pStyle w:val="Paragraphedeliste"/>
        <w:numPr>
          <w:ilvl w:val="0"/>
          <w:numId w:val="3"/>
        </w:numPr>
        <w:rPr>
          <w:b/>
          <w:bCs/>
        </w:rPr>
      </w:pPr>
      <w:r w:rsidRPr="00A06637">
        <w:rPr>
          <w:b/>
          <w:bCs/>
        </w:rPr>
        <w:lastRenderedPageBreak/>
        <w:t>PNP toxiques</w:t>
      </w:r>
    </w:p>
    <w:p w:rsidR="00A06637" w:rsidRDefault="00A06637" w:rsidP="00A06637">
      <w:pPr>
        <w:pStyle w:val="Paragraphedeliste"/>
        <w:numPr>
          <w:ilvl w:val="0"/>
          <w:numId w:val="1"/>
        </w:numPr>
      </w:pPr>
      <w:r w:rsidRPr="009F21FB">
        <w:rPr>
          <w:color w:val="FF0000"/>
        </w:rPr>
        <w:t>Intoxication par les métaux lourds</w:t>
      </w:r>
      <w:r>
        <w:t> : plomb (essentiellement motrice, paralysie pseudo-radiale), arsenic…</w:t>
      </w:r>
    </w:p>
    <w:p w:rsidR="00A06637" w:rsidRDefault="00A06637" w:rsidP="00A06637">
      <w:pPr>
        <w:pStyle w:val="Paragraphedeliste"/>
        <w:numPr>
          <w:ilvl w:val="0"/>
          <w:numId w:val="1"/>
        </w:numPr>
      </w:pPr>
      <w:r w:rsidRPr="009F21FB">
        <w:rPr>
          <w:color w:val="FF0000"/>
        </w:rPr>
        <w:t>Intoxication médicamenteuse</w:t>
      </w:r>
      <w:r>
        <w:t xml:space="preserve"> : vincristine, isoniazide, </w:t>
      </w:r>
      <w:proofErr w:type="spellStart"/>
      <w:r>
        <w:t>métronidazol</w:t>
      </w:r>
      <w:proofErr w:type="spellEnd"/>
      <w:r>
        <w:t xml:space="preserve">…  </w:t>
      </w:r>
    </w:p>
    <w:p w:rsidR="002359BB" w:rsidRDefault="002359BB" w:rsidP="002359BB">
      <w:pPr>
        <w:pStyle w:val="Paragraphedeliste"/>
      </w:pPr>
    </w:p>
    <w:p w:rsidR="002359BB" w:rsidRDefault="009F21FB" w:rsidP="002359BB">
      <w:pPr>
        <w:pStyle w:val="Paragraphedeliste"/>
        <w:numPr>
          <w:ilvl w:val="0"/>
          <w:numId w:val="3"/>
        </w:numPr>
      </w:pPr>
      <w:r w:rsidRPr="009F21FB">
        <w:rPr>
          <w:b/>
          <w:bCs/>
        </w:rPr>
        <w:t>M</w:t>
      </w:r>
      <w:r w:rsidR="002359BB" w:rsidRPr="009F21FB">
        <w:rPr>
          <w:b/>
          <w:bCs/>
        </w:rPr>
        <w:t>aladies générales</w:t>
      </w:r>
      <w:r w:rsidRPr="009F21FB">
        <w:rPr>
          <w:b/>
          <w:bCs/>
        </w:rPr>
        <w:t> :</w:t>
      </w:r>
      <w:r>
        <w:t xml:space="preserve"> PR, LEP, sarcoïdose…</w:t>
      </w:r>
    </w:p>
    <w:p w:rsidR="002359BB" w:rsidRDefault="002359BB" w:rsidP="002359BB">
      <w:pPr>
        <w:pStyle w:val="Paragraphedeliste"/>
      </w:pPr>
    </w:p>
    <w:p w:rsidR="002359BB" w:rsidRDefault="009F21FB" w:rsidP="002359BB">
      <w:pPr>
        <w:pStyle w:val="Paragraphedeliste"/>
        <w:numPr>
          <w:ilvl w:val="0"/>
          <w:numId w:val="3"/>
        </w:numPr>
      </w:pPr>
      <w:r w:rsidRPr="009F21FB">
        <w:rPr>
          <w:b/>
          <w:bCs/>
        </w:rPr>
        <w:t>PNP infe</w:t>
      </w:r>
      <w:r w:rsidR="002359BB" w:rsidRPr="009F21FB">
        <w:rPr>
          <w:b/>
          <w:bCs/>
        </w:rPr>
        <w:t>ctieuses</w:t>
      </w:r>
      <w:r w:rsidRPr="009F21FB">
        <w:rPr>
          <w:b/>
          <w:bCs/>
        </w:rPr>
        <w:t> :</w:t>
      </w:r>
      <w:r>
        <w:t xml:space="preserve"> zona, lèpre, SIDA, </w:t>
      </w:r>
      <w:r w:rsidR="00B22D38">
        <w:t>diphtérie</w:t>
      </w:r>
    </w:p>
    <w:p w:rsidR="009F21FB" w:rsidRDefault="009F21FB" w:rsidP="009F21FB">
      <w:pPr>
        <w:pStyle w:val="Paragraphedeliste"/>
      </w:pPr>
    </w:p>
    <w:p w:rsidR="009F21FB" w:rsidRDefault="009F21FB" w:rsidP="009F21FB">
      <w:pPr>
        <w:pStyle w:val="Paragraphedeliste"/>
      </w:pPr>
      <w:r w:rsidRPr="009F21FB">
        <w:rPr>
          <w:b/>
          <w:bCs/>
          <w:color w:val="FF0000"/>
        </w:rPr>
        <w:t>TRT :</w:t>
      </w:r>
      <w:r>
        <w:t xml:space="preserve"> symptomatique (rééducation) et étiologique</w:t>
      </w:r>
    </w:p>
    <w:p w:rsidR="00801E92" w:rsidRDefault="00801E92" w:rsidP="009F21FB">
      <w:pPr>
        <w:pStyle w:val="Paragraphedeliste"/>
      </w:pPr>
    </w:p>
    <w:p w:rsidR="00801E92" w:rsidRDefault="00801E92" w:rsidP="009F21FB">
      <w:pPr>
        <w:pStyle w:val="Paragraphedeliste"/>
      </w:pPr>
    </w:p>
    <w:p w:rsidR="00801E92" w:rsidRDefault="00801E92" w:rsidP="009F21FB">
      <w:pPr>
        <w:pStyle w:val="Paragraphedeliste"/>
      </w:pPr>
    </w:p>
    <w:p w:rsidR="00801E92" w:rsidRPr="00801E92" w:rsidRDefault="00801E92" w:rsidP="00801E92">
      <w:pPr>
        <w:pStyle w:val="Paragraphedeliste"/>
        <w:jc w:val="center"/>
        <w:rPr>
          <w:b/>
          <w:bCs/>
          <w:color w:val="FF0000"/>
        </w:rPr>
      </w:pPr>
      <w:r w:rsidRPr="00801E92">
        <w:rPr>
          <w:b/>
          <w:bCs/>
          <w:color w:val="FF0000"/>
        </w:rPr>
        <w:t>POLYRADICULONEVRITES INFLAMMATOIRE</w:t>
      </w:r>
      <w:r>
        <w:rPr>
          <w:b/>
          <w:bCs/>
          <w:color w:val="FF0000"/>
        </w:rPr>
        <w:t>S</w:t>
      </w:r>
      <w:r w:rsidRPr="00801E92">
        <w:rPr>
          <w:b/>
          <w:bCs/>
          <w:color w:val="FF0000"/>
        </w:rPr>
        <w:t> :</w:t>
      </w:r>
    </w:p>
    <w:p w:rsidR="00801E92" w:rsidRDefault="00801E92" w:rsidP="009F21FB">
      <w:pPr>
        <w:pStyle w:val="Paragraphedeliste"/>
      </w:pPr>
    </w:p>
    <w:p w:rsidR="00801E92" w:rsidRPr="00801E92" w:rsidRDefault="00801E92" w:rsidP="00801E92">
      <w:pPr>
        <w:pStyle w:val="Paragraphedeliste"/>
        <w:numPr>
          <w:ilvl w:val="0"/>
          <w:numId w:val="4"/>
        </w:numPr>
        <w:rPr>
          <w:b/>
          <w:bCs/>
        </w:rPr>
      </w:pPr>
      <w:r w:rsidRPr="00801E92">
        <w:rPr>
          <w:b/>
          <w:bCs/>
        </w:rPr>
        <w:t xml:space="preserve">Syndrome de Miller-Fisher : </w:t>
      </w:r>
    </w:p>
    <w:p w:rsidR="00801E92" w:rsidRDefault="00801E92" w:rsidP="00801E92">
      <w:pPr>
        <w:pStyle w:val="Paragraphedeliste"/>
        <w:numPr>
          <w:ilvl w:val="0"/>
          <w:numId w:val="1"/>
        </w:numPr>
      </w:pPr>
      <w:r>
        <w:t>Associes typiquement : paralysie oculomotrice, ataxie, aréflexie tendineuse</w:t>
      </w:r>
    </w:p>
    <w:p w:rsidR="00801E92" w:rsidRDefault="00801E92" w:rsidP="00801E92">
      <w:pPr>
        <w:pStyle w:val="Paragraphedeliste"/>
        <w:numPr>
          <w:ilvl w:val="0"/>
          <w:numId w:val="1"/>
        </w:numPr>
      </w:pPr>
      <w:r>
        <w:t xml:space="preserve">Auto AC anti </w:t>
      </w:r>
      <w:proofErr w:type="spellStart"/>
      <w:r>
        <w:t>gangliosides</w:t>
      </w:r>
      <w:proofErr w:type="spellEnd"/>
      <w:r>
        <w:t xml:space="preserve"> mis en causes </w:t>
      </w:r>
    </w:p>
    <w:p w:rsidR="00801E92" w:rsidRDefault="00801E92" w:rsidP="00801E92">
      <w:pPr>
        <w:pStyle w:val="Paragraphedeliste"/>
        <w:numPr>
          <w:ilvl w:val="0"/>
          <w:numId w:val="1"/>
        </w:numPr>
      </w:pPr>
      <w:r>
        <w:t xml:space="preserve">Maladie d’évolution bénigne </w:t>
      </w:r>
    </w:p>
    <w:p w:rsidR="00801E92" w:rsidRDefault="00801E92" w:rsidP="00801E92"/>
    <w:p w:rsidR="00801E92" w:rsidRPr="00801E92" w:rsidRDefault="00801E92" w:rsidP="00801E92">
      <w:pPr>
        <w:pStyle w:val="Paragraphedeliste"/>
        <w:numPr>
          <w:ilvl w:val="0"/>
          <w:numId w:val="4"/>
        </w:numPr>
        <w:rPr>
          <w:b/>
          <w:bCs/>
        </w:rPr>
      </w:pPr>
      <w:r w:rsidRPr="00801E92">
        <w:rPr>
          <w:b/>
          <w:bCs/>
        </w:rPr>
        <w:t xml:space="preserve">Maladie de </w:t>
      </w:r>
      <w:proofErr w:type="spellStart"/>
      <w:r w:rsidRPr="00801E92">
        <w:rPr>
          <w:b/>
          <w:bCs/>
        </w:rPr>
        <w:t>Lyme</w:t>
      </w:r>
      <w:proofErr w:type="spellEnd"/>
      <w:r w:rsidRPr="00801E92">
        <w:rPr>
          <w:b/>
          <w:bCs/>
        </w:rPr>
        <w:t> :</w:t>
      </w:r>
    </w:p>
    <w:p w:rsidR="00801E92" w:rsidRDefault="00801E92" w:rsidP="00801E92">
      <w:pPr>
        <w:pStyle w:val="Paragraphedeliste"/>
        <w:numPr>
          <w:ilvl w:val="0"/>
          <w:numId w:val="1"/>
        </w:numPr>
      </w:pPr>
      <w:r>
        <w:t xml:space="preserve">Polyradiculonévrites asymétriques, érythème migrant, signes arthritiques </w:t>
      </w:r>
    </w:p>
    <w:p w:rsidR="00801E92" w:rsidRDefault="00801E92" w:rsidP="00667D47">
      <w:pPr>
        <w:pStyle w:val="Paragraphedeliste"/>
        <w:numPr>
          <w:ilvl w:val="0"/>
          <w:numId w:val="1"/>
        </w:numPr>
      </w:pPr>
      <w:r>
        <w:t xml:space="preserve">Secondaire </w:t>
      </w:r>
      <w:r w:rsidR="00667D47">
        <w:t>à</w:t>
      </w:r>
      <w:r>
        <w:t xml:space="preserve"> une infection bactérienne de type </w:t>
      </w:r>
      <w:proofErr w:type="spellStart"/>
      <w:r>
        <w:t>Borrelia</w:t>
      </w:r>
      <w:proofErr w:type="spellEnd"/>
      <w:r>
        <w:t xml:space="preserve"> transmise par la piqure de tique </w:t>
      </w:r>
    </w:p>
    <w:p w:rsidR="00801E92" w:rsidRDefault="00801E92" w:rsidP="00801E92">
      <w:pPr>
        <w:pStyle w:val="Paragraphedeliste"/>
        <w:numPr>
          <w:ilvl w:val="0"/>
          <w:numId w:val="1"/>
        </w:numPr>
      </w:pPr>
      <w:r>
        <w:t>Traitement</w:t>
      </w:r>
      <w:r w:rsidR="00912931">
        <w:t> : tétracycline ou ampicilline à</w:t>
      </w:r>
      <w:r>
        <w:t xml:space="preserve"> forte doses </w:t>
      </w:r>
    </w:p>
    <w:p w:rsidR="00801E92" w:rsidRDefault="00801E92" w:rsidP="00801E92">
      <w:pPr>
        <w:pStyle w:val="Paragraphedeliste"/>
      </w:pPr>
    </w:p>
    <w:p w:rsidR="00801E92" w:rsidRPr="00801E92" w:rsidRDefault="00801E92" w:rsidP="00801E92">
      <w:pPr>
        <w:pStyle w:val="Paragraphedeliste"/>
        <w:numPr>
          <w:ilvl w:val="0"/>
          <w:numId w:val="4"/>
        </w:numPr>
        <w:rPr>
          <w:b/>
          <w:bCs/>
        </w:rPr>
      </w:pPr>
      <w:r w:rsidRPr="00801E92">
        <w:rPr>
          <w:b/>
          <w:bCs/>
        </w:rPr>
        <w:t xml:space="preserve">Maladie de Guillain Barré </w:t>
      </w:r>
    </w:p>
    <w:sectPr w:rsidR="00801E92" w:rsidRPr="00801E92" w:rsidSect="00A06637">
      <w:pgSz w:w="11906" w:h="16838"/>
      <w:pgMar w:top="567" w:right="1133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D1F37"/>
    <w:multiLevelType w:val="hybridMultilevel"/>
    <w:tmpl w:val="D1B828FE"/>
    <w:lvl w:ilvl="0" w:tplc="C6622946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127664"/>
    <w:multiLevelType w:val="hybridMultilevel"/>
    <w:tmpl w:val="8048D2AE"/>
    <w:lvl w:ilvl="0" w:tplc="55B0DA2C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0976FA"/>
    <w:multiLevelType w:val="hybridMultilevel"/>
    <w:tmpl w:val="B2B68F3A"/>
    <w:lvl w:ilvl="0" w:tplc="4C76A2A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6542B6"/>
    <w:multiLevelType w:val="hybridMultilevel"/>
    <w:tmpl w:val="8E62DFBA"/>
    <w:lvl w:ilvl="0" w:tplc="3DE87F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128B5"/>
    <w:rsid w:val="000269D5"/>
    <w:rsid w:val="000C2BDA"/>
    <w:rsid w:val="001B341C"/>
    <w:rsid w:val="002024B1"/>
    <w:rsid w:val="002128B5"/>
    <w:rsid w:val="002359BB"/>
    <w:rsid w:val="00254A2B"/>
    <w:rsid w:val="003306FC"/>
    <w:rsid w:val="003853A2"/>
    <w:rsid w:val="003D7560"/>
    <w:rsid w:val="004830B4"/>
    <w:rsid w:val="004C1AB0"/>
    <w:rsid w:val="005214E5"/>
    <w:rsid w:val="00547338"/>
    <w:rsid w:val="00667D47"/>
    <w:rsid w:val="00671ADC"/>
    <w:rsid w:val="006D78F0"/>
    <w:rsid w:val="00801E92"/>
    <w:rsid w:val="00823D62"/>
    <w:rsid w:val="00912931"/>
    <w:rsid w:val="009F21FB"/>
    <w:rsid w:val="00A06637"/>
    <w:rsid w:val="00A16ECD"/>
    <w:rsid w:val="00A35BEC"/>
    <w:rsid w:val="00A7211B"/>
    <w:rsid w:val="00B22D38"/>
    <w:rsid w:val="00DC741B"/>
    <w:rsid w:val="00F54208"/>
    <w:rsid w:val="00FF3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35B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499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7</cp:revision>
  <dcterms:created xsi:type="dcterms:W3CDTF">2010-02-10T10:34:00Z</dcterms:created>
  <dcterms:modified xsi:type="dcterms:W3CDTF">2010-02-14T17:01:00Z</dcterms:modified>
</cp:coreProperties>
</file>