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BC8" w:rsidRPr="00DD3BC8" w:rsidRDefault="00DD3BC8" w:rsidP="00DD3BC8">
      <w:pPr>
        <w:spacing w:after="0"/>
        <w:jc w:val="center"/>
        <w:rPr>
          <w:b/>
          <w:bCs/>
          <w:sz w:val="28"/>
          <w:szCs w:val="28"/>
          <w:u w:val="double"/>
        </w:rPr>
      </w:pPr>
      <w:bookmarkStart w:id="0" w:name="_GoBack"/>
      <w:bookmarkEnd w:id="0"/>
      <w:r w:rsidRPr="00DD3BC8">
        <w:rPr>
          <w:b/>
          <w:bCs/>
          <w:sz w:val="28"/>
          <w:szCs w:val="28"/>
          <w:u w:val="double"/>
        </w:rPr>
        <w:t>Les Digitaliques</w:t>
      </w:r>
    </w:p>
    <w:p w:rsidR="00DD3BC8" w:rsidRDefault="00DD3BC8" w:rsidP="006D3046">
      <w:pPr>
        <w:spacing w:after="0"/>
        <w:rPr>
          <w:b/>
          <w:bCs/>
          <w:sz w:val="24"/>
          <w:szCs w:val="24"/>
          <w:u w:val="single"/>
        </w:rPr>
      </w:pPr>
    </w:p>
    <w:p w:rsidR="00335867" w:rsidRPr="00DD3BC8" w:rsidRDefault="00335867" w:rsidP="00C147B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D3BC8">
        <w:rPr>
          <w:b/>
          <w:bCs/>
          <w:sz w:val="28"/>
          <w:szCs w:val="28"/>
          <w:u w:val="double"/>
        </w:rPr>
        <w:t>Mécanisme d’action :</w:t>
      </w:r>
    </w:p>
    <w:p w:rsidR="007643BF" w:rsidRPr="004866EF" w:rsidRDefault="00FA5F3C" w:rsidP="00C147BF">
      <w:pPr>
        <w:spacing w:after="0" w:line="360" w:lineRule="auto"/>
        <w:rPr>
          <w:vertAlign w:val="superscript"/>
        </w:rPr>
      </w:pPr>
      <w:r w:rsidRPr="004866EF">
        <w:t>Blocage de la pompe Na</w:t>
      </w:r>
      <w:r w:rsidR="00F04FA0" w:rsidRPr="004866EF">
        <w:rPr>
          <w:vertAlign w:val="superscript"/>
        </w:rPr>
        <w:t>+</w:t>
      </w:r>
      <w:r w:rsidRPr="004866EF">
        <w:t>/k</w:t>
      </w:r>
      <w:r w:rsidR="00F04FA0" w:rsidRPr="004866EF">
        <w:rPr>
          <w:vertAlign w:val="superscript"/>
        </w:rPr>
        <w:t>+</w:t>
      </w:r>
      <w:r w:rsidRPr="004866EF">
        <w:sym w:font="Wingdings" w:char="F0E0"/>
      </w:r>
      <w:r w:rsidRPr="004866EF">
        <w:t xml:space="preserve"> Accumulation de Na</w:t>
      </w:r>
      <w:r w:rsidR="00EA3C05" w:rsidRPr="004866EF">
        <w:rPr>
          <w:vertAlign w:val="superscript"/>
        </w:rPr>
        <w:t>+</w:t>
      </w:r>
      <w:r w:rsidRPr="004866EF">
        <w:t xml:space="preserve"> dans la cellule </w:t>
      </w:r>
      <w:r w:rsidRPr="004866EF">
        <w:sym w:font="Wingdings" w:char="F0E0"/>
      </w:r>
      <w:r w:rsidRPr="004866EF">
        <w:t xml:space="preserve"> Activation de la pompe Na</w:t>
      </w:r>
      <w:r w:rsidR="00F04FA0" w:rsidRPr="004866EF">
        <w:rPr>
          <w:vertAlign w:val="superscript"/>
        </w:rPr>
        <w:t>+</w:t>
      </w:r>
      <w:r w:rsidRPr="004866EF">
        <w:t>/Ca</w:t>
      </w:r>
      <w:r w:rsidR="00F04FA0" w:rsidRPr="004866EF">
        <w:rPr>
          <w:vertAlign w:val="superscript"/>
        </w:rPr>
        <w:t>2+</w:t>
      </w:r>
    </w:p>
    <w:p w:rsidR="00335867" w:rsidRPr="004866EF" w:rsidRDefault="00FA5F3C" w:rsidP="00C147BF">
      <w:pPr>
        <w:spacing w:after="0" w:line="360" w:lineRule="auto"/>
      </w:pPr>
      <w:r w:rsidRPr="004866EF">
        <w:sym w:font="Wingdings" w:char="F0E0"/>
      </w:r>
      <w:r w:rsidRPr="004866EF">
        <w:t xml:space="preserve"> </w:t>
      </w:r>
      <w:r w:rsidRPr="004866EF">
        <w:rPr>
          <w:highlight w:val="yellow"/>
        </w:rPr>
        <w:t xml:space="preserve">Entrée de </w:t>
      </w:r>
      <w:r w:rsidR="00F04FA0" w:rsidRPr="004866EF">
        <w:rPr>
          <w:highlight w:val="yellow"/>
        </w:rPr>
        <w:t>Ca</w:t>
      </w:r>
      <w:r w:rsidR="00F04FA0" w:rsidRPr="004866EF">
        <w:rPr>
          <w:highlight w:val="yellow"/>
          <w:vertAlign w:val="superscript"/>
        </w:rPr>
        <w:t>2+</w:t>
      </w:r>
      <w:r w:rsidR="00F04FA0" w:rsidRPr="004866EF">
        <w:rPr>
          <w:highlight w:val="yellow"/>
        </w:rPr>
        <w:t xml:space="preserve"> dans la cellule</w:t>
      </w:r>
      <w:r w:rsidR="007643BF" w:rsidRPr="004866EF">
        <w:t xml:space="preserve"> </w:t>
      </w:r>
      <w:r w:rsidR="007643BF" w:rsidRPr="004866EF">
        <w:sym w:font="Wingdings" w:char="F0E0"/>
      </w:r>
      <w:r w:rsidR="007643BF" w:rsidRPr="004866EF">
        <w:t xml:space="preserve"> </w:t>
      </w:r>
      <w:r w:rsidR="000F42F2" w:rsidRPr="004866EF">
        <w:t>Iono</w:t>
      </w:r>
      <w:r w:rsidR="007643BF" w:rsidRPr="004866EF">
        <w:t xml:space="preserve">tropisme cardiaque et </w:t>
      </w:r>
      <w:r w:rsidR="000F42F2" w:rsidRPr="004866EF">
        <w:t>Con</w:t>
      </w:r>
      <w:r w:rsidR="007643BF" w:rsidRPr="004866EF">
        <w:t>tractilité musculaire</w:t>
      </w:r>
    </w:p>
    <w:p w:rsidR="00DD3BC8" w:rsidRPr="004866EF" w:rsidRDefault="00DD3BC8" w:rsidP="00C147BF">
      <w:pPr>
        <w:spacing w:after="0" w:line="360" w:lineRule="auto"/>
        <w:rPr>
          <w:rFonts w:ascii="Calibri" w:eastAsia="Calibri" w:hAnsi="Calibri" w:cs="Arial"/>
          <w:b/>
          <w:bCs/>
        </w:rPr>
      </w:pPr>
      <w:r w:rsidRPr="004866EF">
        <w:rPr>
          <w:b/>
          <w:bCs/>
        </w:rPr>
        <w:t>- Glucosides Digitaliques :</w:t>
      </w:r>
    </w:p>
    <w:p w:rsidR="00DD3BC8" w:rsidRPr="004866EF" w:rsidRDefault="00DD3BC8" w:rsidP="00C147BF">
      <w:pPr>
        <w:spacing w:after="0" w:line="360" w:lineRule="auto"/>
        <w:rPr>
          <w:rFonts w:ascii="Calibri" w:eastAsia="Calibri" w:hAnsi="Calibri" w:cs="Arial"/>
        </w:rPr>
      </w:pPr>
      <w:r w:rsidRPr="004866EF">
        <w:t>Lorsque</w:t>
      </w:r>
      <w:r w:rsidRPr="004866EF">
        <w:rPr>
          <w:rFonts w:ascii="Calibri" w:eastAsia="Calibri" w:hAnsi="Calibri" w:cs="Arial"/>
        </w:rPr>
        <w:t xml:space="preserve"> la [Ca] intracellulaire est élevée il y’a expulsion d’un ion Ca+ contre l’entrée de 3 Na+, en parallèle la pompe Na+/K+ expulse 3Na+ en échange de 2 K+. Les digitaliques se fixe sur la pompe Na+/K+ la bloque est favorise ainsi l’élimination du Na+ contre l’entré du Ca+ grâce à la pompe Na+/Ca+ </w:t>
      </w:r>
    </w:p>
    <w:p w:rsidR="00DD3BC8" w:rsidRPr="004866EF" w:rsidRDefault="00DD3BC8" w:rsidP="00C147BF">
      <w:pPr>
        <w:spacing w:after="0" w:line="360" w:lineRule="auto"/>
        <w:rPr>
          <w:rFonts w:ascii="Calibri" w:eastAsia="Calibri" w:hAnsi="Calibri" w:cs="Arial"/>
          <w:b/>
          <w:bCs/>
        </w:rPr>
      </w:pPr>
      <w:r w:rsidRPr="004866EF">
        <w:rPr>
          <w:b/>
          <w:bCs/>
        </w:rPr>
        <w:t>- Les</w:t>
      </w:r>
      <w:r w:rsidRPr="004866EF">
        <w:rPr>
          <w:rFonts w:ascii="Calibri" w:eastAsia="Calibri" w:hAnsi="Calibri" w:cs="Arial"/>
          <w:b/>
          <w:bCs/>
        </w:rPr>
        <w:t xml:space="preserve"> digitaliques agissent également par l’intermédiaire du SNC en stimulant le nerf vague </w:t>
      </w:r>
    </w:p>
    <w:p w:rsidR="00DD3BC8" w:rsidRPr="004866EF" w:rsidRDefault="00DD3BC8" w:rsidP="00C147BF">
      <w:pPr>
        <w:spacing w:after="0" w:line="360" w:lineRule="auto"/>
        <w:rPr>
          <w:rFonts w:ascii="Calibri" w:eastAsia="Calibri" w:hAnsi="Calibri" w:cs="Arial"/>
          <w:b/>
          <w:bCs/>
        </w:rPr>
      </w:pPr>
      <w:r w:rsidRPr="004866EF">
        <w:rPr>
          <w:b/>
          <w:bCs/>
        </w:rPr>
        <w:t>- Les</w:t>
      </w:r>
      <w:r w:rsidRPr="004866EF">
        <w:rPr>
          <w:rFonts w:ascii="Calibri" w:eastAsia="Calibri" w:hAnsi="Calibri" w:cs="Arial"/>
          <w:b/>
          <w:bCs/>
        </w:rPr>
        <w:t xml:space="preserve"> agonistes B1 récepteurs : (dopamine, dobutamine, isoprenaline, adrénaline, noradréaline)</w:t>
      </w:r>
    </w:p>
    <w:p w:rsidR="00DD3BC8" w:rsidRPr="004866EF" w:rsidRDefault="00DD3BC8" w:rsidP="00C147BF">
      <w:pPr>
        <w:spacing w:after="0" w:line="360" w:lineRule="auto"/>
        <w:rPr>
          <w:rFonts w:ascii="Calibri" w:eastAsia="Calibri" w:hAnsi="Calibri" w:cs="Arial"/>
        </w:rPr>
      </w:pPr>
      <w:r w:rsidRPr="004866EF">
        <w:rPr>
          <w:rFonts w:ascii="Calibri" w:eastAsia="Calibri" w:hAnsi="Calibri" w:cs="Arial"/>
        </w:rPr>
        <w:t xml:space="preserve"> </w:t>
      </w:r>
      <w:r w:rsidRPr="004866EF">
        <w:t xml:space="preserve"> Stimulent</w:t>
      </w:r>
      <w:r w:rsidRPr="004866EF">
        <w:rPr>
          <w:rFonts w:ascii="Calibri" w:eastAsia="Calibri" w:hAnsi="Calibri" w:cs="Arial"/>
        </w:rPr>
        <w:t xml:space="preserve"> la synthèse de </w:t>
      </w:r>
      <w:r w:rsidRPr="004866EF">
        <w:rPr>
          <w:rFonts w:ascii="Calibri" w:eastAsia="Calibri" w:hAnsi="Calibri" w:cs="Arial"/>
          <w:highlight w:val="yellow"/>
        </w:rPr>
        <w:t>l ’AMPc</w:t>
      </w:r>
      <w:r w:rsidRPr="004866EF">
        <w:rPr>
          <w:rFonts w:ascii="Calibri" w:eastAsia="Calibri" w:hAnsi="Calibri" w:cs="Arial"/>
        </w:rPr>
        <w:t xml:space="preserve"> qui va a son tour stimulé l’entré du Ca+ grâce aux canaux calciques </w:t>
      </w:r>
    </w:p>
    <w:p w:rsidR="00DD3BC8" w:rsidRPr="004866EF" w:rsidRDefault="00DD3BC8" w:rsidP="00C147BF">
      <w:pPr>
        <w:spacing w:line="360" w:lineRule="auto"/>
        <w:rPr>
          <w:b/>
          <w:bCs/>
        </w:rPr>
      </w:pPr>
      <w:r w:rsidRPr="004866EF">
        <w:rPr>
          <w:b/>
          <w:bCs/>
        </w:rPr>
        <w:t xml:space="preserve">- </w:t>
      </w:r>
      <w:r w:rsidRPr="004866EF">
        <w:rPr>
          <w:rFonts w:ascii="Calibri" w:eastAsia="Calibri" w:hAnsi="Calibri" w:cs="Arial"/>
          <w:b/>
          <w:bCs/>
        </w:rPr>
        <w:t>les méthylxanthines (milrinon, caféine, théophyline)</w:t>
      </w:r>
      <w:r w:rsidRPr="004866EF">
        <w:rPr>
          <w:b/>
          <w:bCs/>
        </w:rPr>
        <w:t xml:space="preserve"> </w:t>
      </w:r>
      <w:r w:rsidRPr="004866EF">
        <w:rPr>
          <w:rFonts w:ascii="Calibri" w:eastAsia="Calibri" w:hAnsi="Calibri" w:cs="Arial"/>
        </w:rPr>
        <w:t xml:space="preserve">inhibe la dégradation de l’AMPc  </w:t>
      </w:r>
    </w:p>
    <w:p w:rsidR="00335867" w:rsidRPr="00DD3BC8" w:rsidRDefault="00335867" w:rsidP="00C147B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D3BC8">
        <w:rPr>
          <w:b/>
          <w:bCs/>
          <w:sz w:val="28"/>
          <w:szCs w:val="28"/>
          <w:u w:val="double"/>
        </w:rPr>
        <w:t>Effets :</w:t>
      </w:r>
    </w:p>
    <w:p w:rsidR="007921EB" w:rsidRPr="004866EF" w:rsidRDefault="00F24303" w:rsidP="00C147BF">
      <w:pPr>
        <w:spacing w:after="0" w:line="360" w:lineRule="auto"/>
      </w:pPr>
      <w:r w:rsidRPr="004866EF">
        <w:t>Chronotrope –</w:t>
      </w:r>
      <w:r w:rsidR="005347E6" w:rsidRPr="004866EF">
        <w:t xml:space="preserve">    (</w:t>
      </w:r>
      <w:r w:rsidR="005347E6" w:rsidRPr="004866EF">
        <w:rPr>
          <w:rFonts w:cstheme="minorHAnsi"/>
        </w:rPr>
        <w:t>↘</w:t>
      </w:r>
      <w:r w:rsidR="005347E6" w:rsidRPr="004866EF">
        <w:t xml:space="preserve"> FC)</w:t>
      </w:r>
    </w:p>
    <w:p w:rsidR="00F24303" w:rsidRPr="004866EF" w:rsidRDefault="00F24303" w:rsidP="00C147BF">
      <w:pPr>
        <w:spacing w:after="0" w:line="360" w:lineRule="auto"/>
      </w:pPr>
      <w:r w:rsidRPr="004866EF">
        <w:t>Dromotrope –</w:t>
      </w:r>
      <w:r w:rsidR="005347E6" w:rsidRPr="004866EF">
        <w:t xml:space="preserve">    (</w:t>
      </w:r>
      <w:r w:rsidR="005347E6" w:rsidRPr="004866EF">
        <w:rPr>
          <w:rFonts w:cstheme="minorHAnsi"/>
        </w:rPr>
        <w:t>↘ vitesse de conduction)</w:t>
      </w:r>
    </w:p>
    <w:p w:rsidR="00F24303" w:rsidRPr="004866EF" w:rsidRDefault="00F24303" w:rsidP="00C147BF">
      <w:pPr>
        <w:spacing w:after="0" w:line="360" w:lineRule="auto"/>
      </w:pPr>
      <w:r w:rsidRPr="004866EF">
        <w:t>Bathmotrope +</w:t>
      </w:r>
      <w:r w:rsidR="005347E6" w:rsidRPr="004866EF">
        <w:t xml:space="preserve">  (</w:t>
      </w:r>
      <w:r w:rsidR="005347E6" w:rsidRPr="004866EF">
        <w:rPr>
          <w:rFonts w:cstheme="minorHAnsi"/>
        </w:rPr>
        <w:t>↗ excitabilité)</w:t>
      </w:r>
    </w:p>
    <w:p w:rsidR="00E93BBB" w:rsidRPr="004866EF" w:rsidRDefault="00F24303" w:rsidP="004866EF">
      <w:pPr>
        <w:spacing w:after="0" w:line="360" w:lineRule="auto"/>
        <w:rPr>
          <w:rFonts w:cstheme="minorHAnsi"/>
        </w:rPr>
      </w:pPr>
      <w:r w:rsidRPr="004866EF">
        <w:t>Inotrope +</w:t>
      </w:r>
      <w:r w:rsidR="005347E6" w:rsidRPr="004866EF">
        <w:t xml:space="preserve">          (</w:t>
      </w:r>
      <w:r w:rsidR="005347E6" w:rsidRPr="004866EF">
        <w:rPr>
          <w:rFonts w:cstheme="minorHAnsi"/>
        </w:rPr>
        <w:t>↗contractilité)</w:t>
      </w:r>
    </w:p>
    <w:p w:rsidR="00E93BBB" w:rsidRPr="00E93BBB" w:rsidRDefault="00E93BBB" w:rsidP="00C147BF">
      <w:pPr>
        <w:spacing w:after="0" w:line="360" w:lineRule="auto"/>
        <w:rPr>
          <w:rFonts w:ascii="Calibri" w:eastAsia="Calibri" w:hAnsi="Calibri" w:cs="Arial"/>
          <w:b/>
          <w:bCs/>
          <w:sz w:val="28"/>
          <w:szCs w:val="28"/>
          <w:u w:val="double"/>
        </w:rPr>
      </w:pPr>
      <w:r w:rsidRPr="00E93BBB">
        <w:rPr>
          <w:b/>
          <w:bCs/>
          <w:sz w:val="28"/>
          <w:szCs w:val="28"/>
          <w:u w:val="double"/>
        </w:rPr>
        <w:t xml:space="preserve">Propriété </w:t>
      </w:r>
      <w:r w:rsidRPr="00E93BBB">
        <w:rPr>
          <w:rFonts w:ascii="Calibri" w:eastAsia="Calibri" w:hAnsi="Calibri" w:cs="Arial"/>
          <w:b/>
          <w:bCs/>
          <w:sz w:val="28"/>
          <w:szCs w:val="28"/>
          <w:u w:val="double"/>
        </w:rPr>
        <w:t>pharmacodynamique :</w:t>
      </w:r>
    </w:p>
    <w:p w:rsidR="00E93BBB" w:rsidRPr="00E93BBB" w:rsidRDefault="00E93BBB" w:rsidP="00C147BF">
      <w:pPr>
        <w:spacing w:after="0" w:line="360" w:lineRule="auto"/>
        <w:rPr>
          <w:rFonts w:ascii="Calibri" w:eastAsia="Calibri" w:hAnsi="Calibri" w:cs="Arial"/>
          <w:b/>
          <w:bCs/>
          <w:sz w:val="24"/>
          <w:szCs w:val="24"/>
        </w:rPr>
      </w:pPr>
      <w:r w:rsidRPr="00E93BBB">
        <w:rPr>
          <w:b/>
          <w:bCs/>
          <w:sz w:val="24"/>
          <w:szCs w:val="24"/>
        </w:rPr>
        <w:t>Action</w:t>
      </w:r>
      <w:r w:rsidRPr="00E93BBB">
        <w:rPr>
          <w:rFonts w:ascii="Calibri" w:eastAsia="Calibri" w:hAnsi="Calibri" w:cs="Arial"/>
          <w:b/>
          <w:bCs/>
          <w:sz w:val="24"/>
          <w:szCs w:val="24"/>
        </w:rPr>
        <w:t xml:space="preserve"> sur l’automaticité :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Automa</w:t>
      </w:r>
      <w:r>
        <w:rPr>
          <w:rFonts w:ascii="Calibri" w:eastAsia="Calibri" w:hAnsi="Calibri" w:cs="Arial"/>
        </w:rPr>
        <w:t xml:space="preserve">ticité sinusal : </w:t>
      </w:r>
      <w:r w:rsidR="00C147BF" w:rsidRPr="00C147BF">
        <w:rPr>
          <w:b/>
          <w:bCs/>
        </w:rPr>
        <w:t xml:space="preserve">Ralenti la </w:t>
      </w:r>
      <w:r w:rsidRPr="00C147BF">
        <w:rPr>
          <w:rFonts w:ascii="Calibri" w:eastAsia="Calibri" w:hAnsi="Calibri" w:cs="Arial"/>
          <w:b/>
          <w:bCs/>
        </w:rPr>
        <w:t>fréquence sinusale</w:t>
      </w:r>
      <w:r>
        <w:rPr>
          <w:rFonts w:ascii="Calibri" w:eastAsia="Calibri" w:hAnsi="Calibri" w:cs="Arial"/>
        </w:rPr>
        <w:t xml:space="preserve"> 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Automat</w:t>
      </w:r>
      <w:r>
        <w:rPr>
          <w:rFonts w:ascii="Calibri" w:eastAsia="Calibri" w:hAnsi="Calibri" w:cs="Arial"/>
        </w:rPr>
        <w:t xml:space="preserve">icité Tawarienne : </w:t>
      </w:r>
      <w:r w:rsidR="00C147BF" w:rsidRPr="00C147BF">
        <w:rPr>
          <w:b/>
          <w:bCs/>
        </w:rPr>
        <w:t xml:space="preserve">Ralentissement </w:t>
      </w:r>
      <w:r w:rsidRPr="00C147BF">
        <w:rPr>
          <w:rFonts w:ascii="Calibri" w:eastAsia="Calibri" w:hAnsi="Calibri" w:cs="Arial"/>
          <w:b/>
          <w:bCs/>
        </w:rPr>
        <w:t>du rythme jonctionnel</w:t>
      </w:r>
      <w:r>
        <w:rPr>
          <w:rFonts w:ascii="Calibri" w:eastAsia="Calibri" w:hAnsi="Calibri" w:cs="Arial"/>
        </w:rPr>
        <w:t xml:space="preserve"> 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Auto</w:t>
      </w:r>
      <w:r>
        <w:rPr>
          <w:rFonts w:ascii="Calibri" w:eastAsia="Calibri" w:hAnsi="Calibri" w:cs="Arial"/>
        </w:rPr>
        <w:t xml:space="preserve">maticité </w:t>
      </w:r>
      <w:r>
        <w:t>ectopique</w:t>
      </w:r>
      <w:r>
        <w:rPr>
          <w:rFonts w:ascii="Calibri" w:eastAsia="Calibri" w:hAnsi="Calibri" w:cs="Arial"/>
        </w:rPr>
        <w:t xml:space="preserve"> : </w:t>
      </w:r>
      <w:r w:rsidR="00C147BF">
        <w:t xml:space="preserve">Exalte </w:t>
      </w:r>
      <w:r>
        <w:rPr>
          <w:rFonts w:ascii="Calibri" w:eastAsia="Calibri" w:hAnsi="Calibri" w:cs="Arial"/>
        </w:rPr>
        <w:t xml:space="preserve">leur automaticité a forte dose 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Autom</w:t>
      </w:r>
      <w:r>
        <w:rPr>
          <w:rFonts w:ascii="Calibri" w:eastAsia="Calibri" w:hAnsi="Calibri" w:cs="Arial"/>
        </w:rPr>
        <w:t>aticité Hissienne : à faible dose =&gt;</w:t>
      </w:r>
      <w:r>
        <w:t xml:space="preserve"> Ralentissement</w:t>
      </w:r>
    </w:p>
    <w:p w:rsidR="00E93BBB" w:rsidRDefault="00E93BBB" w:rsidP="00C147BF">
      <w:pPr>
        <w:spacing w:line="360" w:lineRule="auto"/>
        <w:ind w:left="3540"/>
        <w:rPr>
          <w:rFonts w:ascii="Calibri" w:eastAsia="Calibri" w:hAnsi="Calibri" w:cs="Arial"/>
        </w:rPr>
      </w:pPr>
      <w:r>
        <w:t xml:space="preserve">  </w:t>
      </w:r>
      <w:r>
        <w:rPr>
          <w:rFonts w:ascii="Calibri" w:eastAsia="Calibri" w:hAnsi="Calibri" w:cs="Arial"/>
        </w:rPr>
        <w:t xml:space="preserve"> </w:t>
      </w:r>
      <w:r>
        <w:t xml:space="preserve">A </w:t>
      </w:r>
      <w:r>
        <w:rPr>
          <w:rFonts w:ascii="Calibri" w:eastAsia="Calibri" w:hAnsi="Calibri" w:cs="Arial"/>
        </w:rPr>
        <w:t>forte dose =&gt; échappement + rythme actifs rapide</w:t>
      </w:r>
    </w:p>
    <w:p w:rsidR="00E93BBB" w:rsidRPr="00E93BBB" w:rsidRDefault="00E93BBB" w:rsidP="00C147BF">
      <w:pPr>
        <w:spacing w:after="0" w:line="360" w:lineRule="auto"/>
        <w:rPr>
          <w:rFonts w:ascii="Calibri" w:eastAsia="Calibri" w:hAnsi="Calibri" w:cs="Arial"/>
          <w:b/>
          <w:bCs/>
          <w:sz w:val="24"/>
          <w:szCs w:val="24"/>
        </w:rPr>
      </w:pPr>
      <w:r w:rsidRPr="00E93BBB">
        <w:rPr>
          <w:b/>
          <w:bCs/>
          <w:sz w:val="24"/>
          <w:szCs w:val="24"/>
        </w:rPr>
        <w:t>Conséquence</w:t>
      </w:r>
      <w:r w:rsidRPr="00E93BBB">
        <w:rPr>
          <w:rFonts w:ascii="Calibri" w:eastAsia="Calibri" w:hAnsi="Calibri" w:cs="Arial"/>
          <w:b/>
          <w:bCs/>
          <w:sz w:val="24"/>
          <w:szCs w:val="24"/>
        </w:rPr>
        <w:t xml:space="preserve"> hémodynamique : 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Ralentissement</w:t>
      </w:r>
      <w:r>
        <w:rPr>
          <w:rFonts w:ascii="Calibri" w:eastAsia="Calibri" w:hAnsi="Calibri" w:cs="Arial"/>
        </w:rPr>
        <w:t xml:space="preserve"> de la fréquence cardiaque 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Augmentation</w:t>
      </w:r>
      <w:r>
        <w:rPr>
          <w:rFonts w:ascii="Calibri" w:eastAsia="Calibri" w:hAnsi="Calibri" w:cs="Arial"/>
        </w:rPr>
        <w:t xml:space="preserve"> du débit cardiaque 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Augmentation</w:t>
      </w:r>
      <w:r>
        <w:rPr>
          <w:rFonts w:ascii="Calibri" w:eastAsia="Calibri" w:hAnsi="Calibri" w:cs="Arial"/>
        </w:rPr>
        <w:t xml:space="preserve"> de la pré-charge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Diminution</w:t>
      </w:r>
      <w:r>
        <w:rPr>
          <w:rFonts w:ascii="Calibri" w:eastAsia="Calibri" w:hAnsi="Calibri" w:cs="Arial"/>
        </w:rPr>
        <w:t xml:space="preserve"> de la post-charge </w:t>
      </w:r>
    </w:p>
    <w:p w:rsidR="00E93BBB" w:rsidRPr="002A108F" w:rsidRDefault="00E93BBB" w:rsidP="00C147BF">
      <w:pPr>
        <w:spacing w:after="0" w:line="360" w:lineRule="auto"/>
        <w:rPr>
          <w:rFonts w:ascii="Calibri" w:eastAsia="Calibri" w:hAnsi="Calibri" w:cs="Arial"/>
          <w:b/>
          <w:bCs/>
        </w:rPr>
      </w:pPr>
      <w:r>
        <w:t>Favorise</w:t>
      </w:r>
      <w:r>
        <w:rPr>
          <w:rFonts w:ascii="Calibri" w:eastAsia="Calibri" w:hAnsi="Calibri" w:cs="Arial"/>
        </w:rPr>
        <w:t xml:space="preserve"> la résorption des </w:t>
      </w:r>
      <w:r w:rsidRPr="002A108F">
        <w:rPr>
          <w:rFonts w:ascii="Calibri" w:eastAsia="Calibri" w:hAnsi="Calibri" w:cs="Arial"/>
          <w:b/>
          <w:bCs/>
        </w:rPr>
        <w:t xml:space="preserve">œdèmes </w:t>
      </w:r>
    </w:p>
    <w:p w:rsidR="00E93BBB" w:rsidRPr="00E93BBB" w:rsidRDefault="00E93BBB" w:rsidP="00C147BF">
      <w:pPr>
        <w:spacing w:after="0" w:line="360" w:lineRule="auto"/>
        <w:rPr>
          <w:rFonts w:ascii="Calibri" w:eastAsia="Calibri" w:hAnsi="Calibri" w:cs="Arial"/>
          <w:b/>
          <w:bCs/>
          <w:sz w:val="24"/>
          <w:szCs w:val="24"/>
        </w:rPr>
      </w:pPr>
      <w:r w:rsidRPr="00E93BBB">
        <w:rPr>
          <w:b/>
          <w:bCs/>
          <w:sz w:val="24"/>
          <w:szCs w:val="24"/>
        </w:rPr>
        <w:t>Actions</w:t>
      </w:r>
      <w:r w:rsidRPr="00E93BBB">
        <w:rPr>
          <w:rFonts w:ascii="Calibri" w:eastAsia="Calibri" w:hAnsi="Calibri" w:cs="Arial"/>
          <w:b/>
          <w:bCs/>
          <w:sz w:val="24"/>
          <w:szCs w:val="24"/>
        </w:rPr>
        <w:t xml:space="preserve"> extracardiaques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Vasculaire</w:t>
      </w:r>
      <w:r>
        <w:rPr>
          <w:rFonts w:ascii="Calibri" w:eastAsia="Calibri" w:hAnsi="Calibri" w:cs="Arial"/>
        </w:rPr>
        <w:t> : vasoconstriction brève (risque de nécrose hémorragique musculaire en cas de surdosage)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Rénale</w:t>
      </w:r>
      <w:r>
        <w:rPr>
          <w:rFonts w:ascii="Calibri" w:eastAsia="Calibri" w:hAnsi="Calibri" w:cs="Arial"/>
        </w:rPr>
        <w:t> </w:t>
      </w:r>
      <w:r w:rsidRPr="002A108F">
        <w:rPr>
          <w:rFonts w:ascii="Calibri" w:eastAsia="Calibri" w:hAnsi="Calibri" w:cs="Arial"/>
          <w:b/>
          <w:bCs/>
        </w:rPr>
        <w:t>: action natriurétique</w:t>
      </w:r>
      <w:r>
        <w:rPr>
          <w:rFonts w:ascii="Calibri" w:eastAsia="Calibri" w:hAnsi="Calibri" w:cs="Arial"/>
        </w:rPr>
        <w:t xml:space="preserve"> par inhibition de la pompe Na+/k+, amélioration du débit rénale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Action</w:t>
      </w:r>
      <w:r>
        <w:rPr>
          <w:rFonts w:ascii="Calibri" w:eastAsia="Calibri" w:hAnsi="Calibri" w:cs="Arial"/>
        </w:rPr>
        <w:t xml:space="preserve"> sur le SNC : vomissements, troubles visuelles </w:t>
      </w:r>
      <w:r w:rsidR="00C147BF">
        <w:t xml:space="preserve"> ++++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Les</w:t>
      </w:r>
      <w:r>
        <w:rPr>
          <w:rFonts w:ascii="Calibri" w:eastAsia="Calibri" w:hAnsi="Calibri" w:cs="Arial"/>
        </w:rPr>
        <w:t xml:space="preserve"> digitalique traverse la barrière placentaire et sont retrouvés dans le lait maternelle </w:t>
      </w:r>
    </w:p>
    <w:p w:rsidR="00E93BBB" w:rsidRDefault="00E93BBB" w:rsidP="00C147BF">
      <w:pPr>
        <w:spacing w:after="0" w:line="360" w:lineRule="auto"/>
        <w:rPr>
          <w:rFonts w:ascii="Calibri" w:eastAsia="Calibri" w:hAnsi="Calibri" w:cs="Arial"/>
        </w:rPr>
      </w:pPr>
      <w:r>
        <w:t>L’hypocalcémie</w:t>
      </w:r>
      <w:r>
        <w:rPr>
          <w:rFonts w:ascii="Calibri" w:eastAsia="Calibri" w:hAnsi="Calibri" w:cs="Arial"/>
        </w:rPr>
        <w:t xml:space="preserve"> diminue l’action des digitaliques, l’hypercalcémie l’augmente </w:t>
      </w:r>
    </w:p>
    <w:p w:rsidR="00F24303" w:rsidRPr="00DD3BC8" w:rsidRDefault="00F24303" w:rsidP="00C147B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D3BC8">
        <w:rPr>
          <w:b/>
          <w:bCs/>
          <w:sz w:val="28"/>
          <w:szCs w:val="28"/>
          <w:u w:val="double"/>
        </w:rPr>
        <w:lastRenderedPageBreak/>
        <w:t>Molécules :</w:t>
      </w:r>
    </w:p>
    <w:p w:rsidR="00F24303" w:rsidRPr="00DD3BC8" w:rsidRDefault="00F24303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La plus utilisée : Digoxine</w:t>
      </w:r>
      <w:r w:rsidR="005347E6">
        <w:rPr>
          <w:sz w:val="24"/>
          <w:szCs w:val="24"/>
        </w:rPr>
        <w:t xml:space="preserve"> (hydro-liposoluble</w:t>
      </w:r>
      <w:r w:rsidR="00E93BBB">
        <w:rPr>
          <w:sz w:val="24"/>
          <w:szCs w:val="24"/>
        </w:rPr>
        <w:t>),</w:t>
      </w:r>
      <w:r w:rsidR="005347E6">
        <w:rPr>
          <w:sz w:val="24"/>
          <w:szCs w:val="24"/>
        </w:rPr>
        <w:t xml:space="preserve"> Elimination </w:t>
      </w:r>
      <w:r w:rsidR="00E93BBB">
        <w:rPr>
          <w:sz w:val="24"/>
          <w:szCs w:val="24"/>
        </w:rPr>
        <w:t>rénale,</w:t>
      </w:r>
      <w:r w:rsidR="005347E6">
        <w:rPr>
          <w:sz w:val="24"/>
          <w:szCs w:val="24"/>
        </w:rPr>
        <w:t xml:space="preserve"> Demi-vie 36-48H</w:t>
      </w:r>
    </w:p>
    <w:p w:rsidR="00F24303" w:rsidRPr="00DD3BC8" w:rsidRDefault="00F24303" w:rsidP="00C147BF">
      <w:pPr>
        <w:spacing w:after="0" w:line="360" w:lineRule="auto"/>
        <w:rPr>
          <w:sz w:val="24"/>
          <w:szCs w:val="24"/>
        </w:rPr>
      </w:pPr>
      <w:r w:rsidRPr="00C147BF">
        <w:rPr>
          <w:sz w:val="24"/>
          <w:szCs w:val="24"/>
          <w:highlight w:val="yellow"/>
        </w:rPr>
        <w:t>En cas d’insuffisance rénale</w:t>
      </w:r>
      <w:r w:rsidRPr="00DD3BC8">
        <w:rPr>
          <w:sz w:val="24"/>
          <w:szCs w:val="24"/>
        </w:rPr>
        <w:t xml:space="preserve"> : Digitoxine est </w:t>
      </w:r>
      <w:r w:rsidR="00E93BBB" w:rsidRPr="00DD3BC8">
        <w:rPr>
          <w:sz w:val="24"/>
          <w:szCs w:val="24"/>
        </w:rPr>
        <w:t>préférée</w:t>
      </w:r>
      <w:r w:rsidR="00E93BBB">
        <w:rPr>
          <w:sz w:val="24"/>
          <w:szCs w:val="24"/>
        </w:rPr>
        <w:t>, Elimination biliaire , Demi-vie 4-6 jrs</w:t>
      </w:r>
    </w:p>
    <w:p w:rsidR="00786382" w:rsidRPr="00DD3BC8" w:rsidRDefault="00786382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Lanatoside C</w:t>
      </w:r>
    </w:p>
    <w:p w:rsidR="00F24303" w:rsidRPr="00DD3BC8" w:rsidRDefault="00612C19" w:rsidP="00C147B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D3BC8">
        <w:rPr>
          <w:b/>
          <w:bCs/>
          <w:sz w:val="28"/>
          <w:szCs w:val="28"/>
          <w:u w:val="double"/>
        </w:rPr>
        <w:t>Indications :</w:t>
      </w:r>
    </w:p>
    <w:p w:rsidR="00612C19" w:rsidRPr="00DD3BC8" w:rsidRDefault="00612C19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Insuffisance cardiaque chronique</w:t>
      </w:r>
    </w:p>
    <w:p w:rsidR="00612C19" w:rsidRDefault="00612C19" w:rsidP="002A108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Fibrillation auriculaire – Flutter auriculaire – Tachycardie atriale</w:t>
      </w:r>
    </w:p>
    <w:p w:rsidR="00C147BF" w:rsidRPr="00C147BF" w:rsidRDefault="00C147BF" w:rsidP="002A108F">
      <w:pPr>
        <w:spacing w:after="0" w:line="360" w:lineRule="auto"/>
        <w:rPr>
          <w:rFonts w:ascii="Calibri" w:eastAsia="Calibri" w:hAnsi="Calibri" w:cs="Arial"/>
          <w:b/>
          <w:bCs/>
          <w:sz w:val="28"/>
          <w:szCs w:val="28"/>
          <w:u w:val="double"/>
        </w:rPr>
      </w:pPr>
      <w:r w:rsidRPr="00C147BF">
        <w:rPr>
          <w:rFonts w:ascii="Calibri" w:eastAsia="Calibri" w:hAnsi="Calibri" w:cs="Arial"/>
          <w:b/>
          <w:bCs/>
          <w:sz w:val="28"/>
          <w:szCs w:val="28"/>
          <w:u w:val="double"/>
        </w:rPr>
        <w:t xml:space="preserve">Contre-indications : </w:t>
      </w:r>
    </w:p>
    <w:p w:rsidR="00C147BF" w:rsidRPr="004866EF" w:rsidRDefault="00C147BF" w:rsidP="002A108F">
      <w:pPr>
        <w:spacing w:after="0" w:line="360" w:lineRule="auto"/>
        <w:rPr>
          <w:rFonts w:ascii="Calibri" w:eastAsia="Calibri" w:hAnsi="Calibri" w:cs="Arial"/>
          <w:b/>
          <w:bCs/>
          <w:sz w:val="24"/>
          <w:szCs w:val="24"/>
        </w:rPr>
      </w:pPr>
      <w:r w:rsidRPr="004866EF">
        <w:rPr>
          <w:b/>
          <w:bCs/>
          <w:sz w:val="24"/>
          <w:szCs w:val="24"/>
        </w:rPr>
        <w:t>Absolues</w:t>
      </w:r>
      <w:r w:rsidRPr="004866EF">
        <w:rPr>
          <w:rFonts w:ascii="Calibri" w:eastAsia="Calibri" w:hAnsi="Calibri" w:cs="Arial"/>
          <w:b/>
          <w:bCs/>
          <w:sz w:val="24"/>
          <w:szCs w:val="24"/>
        </w:rPr>
        <w:t> :</w:t>
      </w:r>
    </w:p>
    <w:p w:rsidR="00C147BF" w:rsidRPr="004866EF" w:rsidRDefault="00C147BF" w:rsidP="004866EF">
      <w:pPr>
        <w:spacing w:after="0" w:line="360" w:lineRule="auto"/>
        <w:rPr>
          <w:rFonts w:ascii="Calibri" w:eastAsia="Calibri" w:hAnsi="Calibri" w:cs="Arial"/>
          <w:sz w:val="24"/>
          <w:szCs w:val="24"/>
        </w:rPr>
      </w:pPr>
      <w:r w:rsidRPr="004866EF">
        <w:rPr>
          <w:rFonts w:ascii="Calibri" w:eastAsia="Calibri" w:hAnsi="Calibri" w:cs="Arial"/>
          <w:sz w:val="24"/>
          <w:szCs w:val="24"/>
        </w:rPr>
        <w:t>BAV du 2</w:t>
      </w:r>
      <w:r w:rsidRPr="004866EF">
        <w:rPr>
          <w:rFonts w:ascii="Calibri" w:eastAsia="Calibri" w:hAnsi="Calibri" w:cs="Arial"/>
          <w:sz w:val="24"/>
          <w:szCs w:val="24"/>
          <w:vertAlign w:val="superscript"/>
        </w:rPr>
        <w:t xml:space="preserve">ème </w:t>
      </w:r>
      <w:r w:rsidRPr="004866EF">
        <w:rPr>
          <w:rFonts w:ascii="Calibri" w:eastAsia="Calibri" w:hAnsi="Calibri" w:cs="Arial"/>
          <w:sz w:val="24"/>
          <w:szCs w:val="24"/>
        </w:rPr>
        <w:t>et du 3</w:t>
      </w:r>
      <w:r w:rsidRPr="004866EF">
        <w:rPr>
          <w:rFonts w:ascii="Calibri" w:eastAsia="Calibri" w:hAnsi="Calibri" w:cs="Arial"/>
          <w:sz w:val="24"/>
          <w:szCs w:val="24"/>
          <w:vertAlign w:val="superscript"/>
        </w:rPr>
        <w:t>ème</w:t>
      </w:r>
      <w:r w:rsidRPr="004866EF">
        <w:rPr>
          <w:rFonts w:ascii="Calibri" w:eastAsia="Calibri" w:hAnsi="Calibri" w:cs="Arial"/>
          <w:sz w:val="24"/>
          <w:szCs w:val="24"/>
        </w:rPr>
        <w:t xml:space="preserve"> degré non appareillés </w:t>
      </w:r>
    </w:p>
    <w:p w:rsidR="00C147BF" w:rsidRPr="004866EF" w:rsidRDefault="00C147BF" w:rsidP="004866EF">
      <w:pPr>
        <w:spacing w:after="0" w:line="360" w:lineRule="auto"/>
        <w:rPr>
          <w:rFonts w:ascii="Calibri" w:eastAsia="Calibri" w:hAnsi="Calibri" w:cs="Arial"/>
          <w:sz w:val="24"/>
          <w:szCs w:val="24"/>
        </w:rPr>
      </w:pPr>
      <w:r w:rsidRPr="004866EF">
        <w:rPr>
          <w:rFonts w:ascii="Calibri" w:eastAsia="Calibri" w:hAnsi="Calibri" w:cs="Arial"/>
          <w:sz w:val="24"/>
          <w:szCs w:val="24"/>
        </w:rPr>
        <w:t xml:space="preserve">ESV polymorphes et fréquentes, TV, FV </w:t>
      </w:r>
    </w:p>
    <w:p w:rsidR="00C147BF" w:rsidRPr="003051F2" w:rsidRDefault="00C147BF" w:rsidP="003051F2">
      <w:pPr>
        <w:spacing w:after="0" w:line="360" w:lineRule="auto"/>
        <w:rPr>
          <w:rFonts w:ascii="Calibri" w:eastAsia="Calibri" w:hAnsi="Calibri" w:cs="Arial"/>
          <w:sz w:val="24"/>
          <w:szCs w:val="24"/>
        </w:rPr>
      </w:pPr>
      <w:r w:rsidRPr="004866EF">
        <w:rPr>
          <w:rFonts w:ascii="Calibri" w:eastAsia="Calibri" w:hAnsi="Calibri" w:cs="Arial"/>
          <w:sz w:val="24"/>
          <w:szCs w:val="24"/>
        </w:rPr>
        <w:t>WPW</w:t>
      </w:r>
      <w:r w:rsidR="003051F2">
        <w:rPr>
          <w:rFonts w:ascii="Calibri" w:eastAsia="Calibri" w:hAnsi="Calibri" w:cs="Arial"/>
          <w:sz w:val="24"/>
          <w:szCs w:val="24"/>
        </w:rPr>
        <w:t xml:space="preserve"> et </w:t>
      </w:r>
      <w:r w:rsidRPr="004866EF">
        <w:rPr>
          <w:rFonts w:ascii="Calibri" w:eastAsia="Calibri" w:hAnsi="Calibri" w:cs="Arial"/>
          <w:sz w:val="24"/>
          <w:szCs w:val="24"/>
        </w:rPr>
        <w:t xml:space="preserve">CMO </w:t>
      </w:r>
      <w:r w:rsidR="003051F2">
        <w:rPr>
          <w:rFonts w:ascii="Calibri" w:eastAsia="Calibri" w:hAnsi="Calibri" w:cs="Arial"/>
          <w:sz w:val="24"/>
          <w:szCs w:val="24"/>
        </w:rPr>
        <w:t>(</w:t>
      </w:r>
      <w:r w:rsidR="003051F2" w:rsidRPr="004866EF">
        <w:rPr>
          <w:rFonts w:ascii="Calibri" w:eastAsia="Calibri" w:hAnsi="Calibri" w:cs="Arial"/>
          <w:sz w:val="24"/>
          <w:szCs w:val="24"/>
        </w:rPr>
        <w:t>Cardiomyopathie obstructive</w:t>
      </w:r>
      <w:r w:rsidR="003051F2">
        <w:rPr>
          <w:rFonts w:ascii="Calibri" w:eastAsia="Calibri" w:hAnsi="Calibri" w:cs="Arial"/>
          <w:sz w:val="24"/>
          <w:szCs w:val="24"/>
        </w:rPr>
        <w:t>)</w:t>
      </w:r>
    </w:p>
    <w:p w:rsidR="00612C19" w:rsidRPr="00DD3BC8" w:rsidRDefault="00612C19" w:rsidP="00C147B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D3BC8">
        <w:rPr>
          <w:b/>
          <w:bCs/>
          <w:sz w:val="28"/>
          <w:szCs w:val="28"/>
          <w:u w:val="double"/>
        </w:rPr>
        <w:t>Imprégnation digitalique :</w:t>
      </w:r>
    </w:p>
    <w:p w:rsidR="00335867" w:rsidRPr="00DD3BC8" w:rsidRDefault="00612C19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Sous-décalage ST, concave vers le haut</w:t>
      </w:r>
    </w:p>
    <w:p w:rsidR="00612C19" w:rsidRPr="00DD3BC8" w:rsidRDefault="00612C19" w:rsidP="00C147B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D3BC8">
        <w:rPr>
          <w:b/>
          <w:bCs/>
          <w:sz w:val="28"/>
          <w:szCs w:val="28"/>
          <w:u w:val="double"/>
        </w:rPr>
        <w:t>Intoxication digitalique :</w:t>
      </w:r>
    </w:p>
    <w:p w:rsidR="005C56FD" w:rsidRPr="00DD3BC8" w:rsidRDefault="005C56FD" w:rsidP="00C147BF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DD3BC8">
        <w:rPr>
          <w:b/>
          <w:bCs/>
          <w:sz w:val="24"/>
          <w:szCs w:val="24"/>
          <w:u w:val="double"/>
        </w:rPr>
        <w:t>Clinique :</w:t>
      </w:r>
    </w:p>
    <w:p w:rsidR="00612C19" w:rsidRPr="00DD3BC8" w:rsidRDefault="00612C19" w:rsidP="00C147BF">
      <w:pPr>
        <w:spacing w:after="0" w:line="360" w:lineRule="auto"/>
        <w:rPr>
          <w:b/>
          <w:bCs/>
          <w:sz w:val="24"/>
          <w:szCs w:val="24"/>
        </w:rPr>
      </w:pPr>
      <w:r w:rsidRPr="00DD3BC8">
        <w:rPr>
          <w:b/>
          <w:bCs/>
          <w:sz w:val="24"/>
          <w:szCs w:val="24"/>
        </w:rPr>
        <w:t>Signes cardiaques :</w:t>
      </w:r>
    </w:p>
    <w:p w:rsidR="00612C19" w:rsidRPr="00DD3BC8" w:rsidRDefault="00612C19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- Bradycardie</w:t>
      </w:r>
      <w:r w:rsidR="00C147BF">
        <w:rPr>
          <w:sz w:val="24"/>
          <w:szCs w:val="24"/>
        </w:rPr>
        <w:t xml:space="preserve"> </w:t>
      </w:r>
      <w:r w:rsidRPr="00DD3BC8">
        <w:rPr>
          <w:sz w:val="24"/>
          <w:szCs w:val="24"/>
        </w:rPr>
        <w:t>- Tachycardie auriculaire</w:t>
      </w:r>
    </w:p>
    <w:p w:rsidR="00612C19" w:rsidRPr="00C147BF" w:rsidRDefault="00612C19" w:rsidP="00C147BF">
      <w:pPr>
        <w:spacing w:after="0" w:line="360" w:lineRule="auto"/>
        <w:rPr>
          <w:b/>
          <w:bCs/>
          <w:sz w:val="24"/>
          <w:szCs w:val="24"/>
        </w:rPr>
      </w:pPr>
      <w:r w:rsidRPr="00DD3BC8">
        <w:rPr>
          <w:sz w:val="24"/>
          <w:szCs w:val="24"/>
        </w:rPr>
        <w:t xml:space="preserve">- </w:t>
      </w:r>
      <w:r w:rsidR="005E2CA2" w:rsidRPr="00DD3BC8">
        <w:rPr>
          <w:sz w:val="24"/>
          <w:szCs w:val="24"/>
        </w:rPr>
        <w:t>ESV, TV, FV</w:t>
      </w:r>
      <w:r w:rsidR="00C147BF">
        <w:rPr>
          <w:sz w:val="24"/>
          <w:szCs w:val="24"/>
        </w:rPr>
        <w:t xml:space="preserve">, </w:t>
      </w:r>
      <w:r w:rsidR="00C147BF" w:rsidRPr="00C147BF">
        <w:rPr>
          <w:b/>
          <w:bCs/>
          <w:highlight w:val="yellow"/>
        </w:rPr>
        <w:t xml:space="preserve">Inversion </w:t>
      </w:r>
      <w:r w:rsidR="00C147BF" w:rsidRPr="00C147BF">
        <w:rPr>
          <w:rFonts w:ascii="Calibri" w:eastAsia="Calibri" w:hAnsi="Calibri" w:cs="Arial"/>
          <w:b/>
          <w:bCs/>
          <w:highlight w:val="yellow"/>
        </w:rPr>
        <w:t>de l’onde T (intoxication)</w:t>
      </w:r>
    </w:p>
    <w:p w:rsidR="005E2CA2" w:rsidRPr="00DD3BC8" w:rsidRDefault="005E2CA2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- Choc cardiogénique</w:t>
      </w:r>
      <w:r w:rsidR="00C147BF">
        <w:rPr>
          <w:sz w:val="24"/>
          <w:szCs w:val="24"/>
        </w:rPr>
        <w:t xml:space="preserve"> </w:t>
      </w:r>
      <w:r w:rsidRPr="00DD3BC8">
        <w:rPr>
          <w:sz w:val="24"/>
          <w:szCs w:val="24"/>
        </w:rPr>
        <w:t>- Asystolie</w:t>
      </w:r>
    </w:p>
    <w:p w:rsidR="005E2CA2" w:rsidRPr="00DD3BC8" w:rsidRDefault="005E2CA2" w:rsidP="00C147BF">
      <w:pPr>
        <w:spacing w:after="0" w:line="360" w:lineRule="auto"/>
        <w:rPr>
          <w:b/>
          <w:bCs/>
          <w:sz w:val="24"/>
          <w:szCs w:val="24"/>
        </w:rPr>
      </w:pPr>
      <w:r w:rsidRPr="00DD3BC8">
        <w:rPr>
          <w:b/>
          <w:bCs/>
          <w:sz w:val="24"/>
          <w:szCs w:val="24"/>
        </w:rPr>
        <w:t>Signes extra-cardiaques :</w:t>
      </w:r>
    </w:p>
    <w:p w:rsidR="005E2CA2" w:rsidRPr="00DD3BC8" w:rsidRDefault="005E2CA2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- Céphalée, vertige, convulsions, troubles psychiques</w:t>
      </w:r>
    </w:p>
    <w:p w:rsidR="005E2CA2" w:rsidRPr="00DD3BC8" w:rsidRDefault="005E2CA2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 xml:space="preserve">- Dyschromatopsie jaune-vert </w:t>
      </w:r>
      <w:r w:rsidRPr="00DD3BC8">
        <w:rPr>
          <w:sz w:val="24"/>
          <w:szCs w:val="24"/>
        </w:rPr>
        <w:sym w:font="Wingdings" w:char="F0E0"/>
      </w:r>
      <w:r w:rsidRPr="00DD3BC8">
        <w:rPr>
          <w:sz w:val="24"/>
          <w:szCs w:val="24"/>
        </w:rPr>
        <w:t xml:space="preserve"> Pathognomonique</w:t>
      </w:r>
    </w:p>
    <w:p w:rsidR="005E2CA2" w:rsidRPr="00DD3BC8" w:rsidRDefault="005E2CA2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- Troubles digestifs</w:t>
      </w:r>
    </w:p>
    <w:p w:rsidR="005E2CA2" w:rsidRPr="00DD3BC8" w:rsidRDefault="00393E19" w:rsidP="00C147BF">
      <w:pPr>
        <w:spacing w:after="0" w:line="360" w:lineRule="auto"/>
        <w:rPr>
          <w:b/>
          <w:bCs/>
          <w:sz w:val="24"/>
          <w:szCs w:val="24"/>
        </w:rPr>
      </w:pPr>
      <w:r w:rsidRPr="00DD3BC8">
        <w:rPr>
          <w:b/>
          <w:bCs/>
          <w:sz w:val="24"/>
          <w:szCs w:val="24"/>
          <w:highlight w:val="yellow"/>
        </w:rPr>
        <w:t>Hyperkaliémie</w:t>
      </w:r>
    </w:p>
    <w:p w:rsidR="00393E19" w:rsidRPr="003051F2" w:rsidRDefault="00393E19" w:rsidP="003051F2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D3BC8">
        <w:rPr>
          <w:b/>
          <w:bCs/>
          <w:sz w:val="28"/>
          <w:szCs w:val="28"/>
          <w:u w:val="double"/>
        </w:rPr>
        <w:t>Diagnostic :</w:t>
      </w:r>
      <w:r w:rsidR="003051F2" w:rsidRPr="003051F2">
        <w:rPr>
          <w:b/>
          <w:bCs/>
          <w:sz w:val="28"/>
          <w:szCs w:val="28"/>
        </w:rPr>
        <w:t xml:space="preserve"> </w:t>
      </w:r>
      <w:r w:rsidRPr="00DD3BC8">
        <w:rPr>
          <w:sz w:val="24"/>
          <w:szCs w:val="24"/>
        </w:rPr>
        <w:t>Dosage de la digoxinémie</w:t>
      </w:r>
    </w:p>
    <w:p w:rsidR="00393E19" w:rsidRPr="00DD3BC8" w:rsidRDefault="00393E19" w:rsidP="00C147B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D3BC8">
        <w:rPr>
          <w:b/>
          <w:bCs/>
          <w:sz w:val="28"/>
          <w:szCs w:val="28"/>
          <w:u w:val="double"/>
        </w:rPr>
        <w:t>Traitement :</w:t>
      </w:r>
    </w:p>
    <w:p w:rsidR="00393E19" w:rsidRPr="00DD3BC8" w:rsidRDefault="00393E19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Arrêt immédiat de tout digitalique</w:t>
      </w:r>
    </w:p>
    <w:p w:rsidR="00393E19" w:rsidRPr="00DD3BC8" w:rsidRDefault="00393E19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Arrêt des médicaments hyperkaliémiants</w:t>
      </w:r>
    </w:p>
    <w:p w:rsidR="00393E19" w:rsidRPr="00DD3BC8" w:rsidRDefault="008D3F58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Lavage gastrique, charbon activé</w:t>
      </w:r>
    </w:p>
    <w:p w:rsidR="008D3F58" w:rsidRPr="00DD3BC8" w:rsidRDefault="008D3F58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 xml:space="preserve">Anticorps anti-digoxine : </w:t>
      </w:r>
      <w:r w:rsidR="00DF7826" w:rsidRPr="00DD3BC8">
        <w:rPr>
          <w:sz w:val="24"/>
          <w:szCs w:val="24"/>
          <w:highlight w:val="yellow"/>
        </w:rPr>
        <w:t>DIGITDOT</w:t>
      </w:r>
    </w:p>
    <w:p w:rsidR="000F0F25" w:rsidRPr="00DD3BC8" w:rsidRDefault="008D3F58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Correction des troubles hydro-électrolytique :</w:t>
      </w:r>
    </w:p>
    <w:p w:rsidR="008D3F58" w:rsidRPr="00DD3BC8" w:rsidRDefault="000F0F25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- K</w:t>
      </w:r>
      <w:r w:rsidR="008D3F58" w:rsidRPr="00DD3BC8">
        <w:rPr>
          <w:sz w:val="24"/>
          <w:szCs w:val="24"/>
        </w:rPr>
        <w:t xml:space="preserve">aliémie, </w:t>
      </w:r>
      <w:r w:rsidRPr="00DD3BC8">
        <w:rPr>
          <w:sz w:val="24"/>
          <w:szCs w:val="24"/>
        </w:rPr>
        <w:t>natrémie, calcémie, phosphorémie, magnésémie</w:t>
      </w:r>
    </w:p>
    <w:p w:rsidR="000F0F25" w:rsidRDefault="000F0F25" w:rsidP="00C147BF">
      <w:pPr>
        <w:spacing w:after="0" w:line="360" w:lineRule="auto"/>
        <w:rPr>
          <w:sz w:val="24"/>
          <w:szCs w:val="24"/>
        </w:rPr>
      </w:pPr>
      <w:r w:rsidRPr="00C147BF">
        <w:rPr>
          <w:sz w:val="24"/>
          <w:szCs w:val="24"/>
          <w:highlight w:val="yellow"/>
        </w:rPr>
        <w:t xml:space="preserve">- </w:t>
      </w:r>
      <w:r w:rsidR="00A4227D" w:rsidRPr="00C147BF">
        <w:rPr>
          <w:sz w:val="24"/>
          <w:szCs w:val="24"/>
          <w:highlight w:val="yellow"/>
        </w:rPr>
        <w:t>Gluconate de calcium pour traiter l’hyperkaliémie est contre indiqué</w:t>
      </w:r>
    </w:p>
    <w:p w:rsidR="00C147BF" w:rsidRPr="00DD3BC8" w:rsidRDefault="00C147BF" w:rsidP="00C147BF">
      <w:pPr>
        <w:spacing w:after="0" w:line="360" w:lineRule="auto"/>
        <w:rPr>
          <w:sz w:val="24"/>
          <w:szCs w:val="24"/>
        </w:rPr>
      </w:pPr>
    </w:p>
    <w:p w:rsidR="00B0459C" w:rsidRPr="00DD3BC8" w:rsidRDefault="00A4227D" w:rsidP="00C147BF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DD3BC8">
        <w:rPr>
          <w:b/>
          <w:bCs/>
          <w:sz w:val="24"/>
          <w:szCs w:val="24"/>
          <w:u w:val="double"/>
        </w:rPr>
        <w:t>Traitement des troubles du rythme :</w:t>
      </w:r>
    </w:p>
    <w:p w:rsidR="00A4227D" w:rsidRPr="00DD3BC8" w:rsidRDefault="00A4227D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- Bradycardie : Atropine, SEES</w:t>
      </w:r>
    </w:p>
    <w:p w:rsidR="00A4227D" w:rsidRPr="00DD3BC8" w:rsidRDefault="00A4227D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 xml:space="preserve">- Tachycardie atriale : β-bloquants, </w:t>
      </w:r>
      <w:r w:rsidR="00B623CA" w:rsidRPr="00DD3BC8">
        <w:rPr>
          <w:sz w:val="24"/>
          <w:szCs w:val="24"/>
        </w:rPr>
        <w:t>A</w:t>
      </w:r>
      <w:r w:rsidRPr="00DD3BC8">
        <w:rPr>
          <w:sz w:val="24"/>
          <w:szCs w:val="24"/>
        </w:rPr>
        <w:t>miodarone</w:t>
      </w:r>
    </w:p>
    <w:p w:rsidR="008D3F58" w:rsidRPr="00DD3BC8" w:rsidRDefault="00A4227D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</w:rPr>
        <w:t>- Troubles du rythme ventriculaires :</w:t>
      </w:r>
      <w:r w:rsidR="00B623CA" w:rsidRPr="00DD3BC8">
        <w:rPr>
          <w:sz w:val="24"/>
          <w:szCs w:val="24"/>
        </w:rPr>
        <w:t>Phénytoïne, Lidocaïne, Amiodarone</w:t>
      </w:r>
    </w:p>
    <w:p w:rsidR="00B0459C" w:rsidRPr="00DD3BC8" w:rsidRDefault="00B0459C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  <w:highlight w:val="yellow"/>
        </w:rPr>
        <w:t>- Les catécholamines sont contre-indiquées</w:t>
      </w:r>
    </w:p>
    <w:p w:rsidR="00B0459C" w:rsidRPr="00DD3BC8" w:rsidRDefault="00B0459C" w:rsidP="00C147BF">
      <w:pPr>
        <w:spacing w:after="0" w:line="360" w:lineRule="auto"/>
        <w:rPr>
          <w:sz w:val="24"/>
          <w:szCs w:val="24"/>
        </w:rPr>
      </w:pPr>
      <w:r w:rsidRPr="00DD3BC8">
        <w:rPr>
          <w:sz w:val="24"/>
          <w:szCs w:val="24"/>
          <w:highlight w:val="yellow"/>
        </w:rPr>
        <w:t>- Le choc électrique externe est contre-indiqué, sauf en cas de FV</w:t>
      </w:r>
    </w:p>
    <w:sectPr w:rsidR="00B0459C" w:rsidRPr="00DD3BC8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C79" w:rsidRDefault="00D47C79" w:rsidP="00A86459">
      <w:pPr>
        <w:spacing w:after="0" w:line="240" w:lineRule="auto"/>
      </w:pPr>
      <w:r>
        <w:separator/>
      </w:r>
    </w:p>
  </w:endnote>
  <w:endnote w:type="continuationSeparator" w:id="1">
    <w:p w:rsidR="00D47C79" w:rsidRDefault="00D47C79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C79" w:rsidRDefault="00D47C79" w:rsidP="00A86459">
      <w:pPr>
        <w:spacing w:after="0" w:line="240" w:lineRule="auto"/>
      </w:pPr>
      <w:r>
        <w:separator/>
      </w:r>
    </w:p>
  </w:footnote>
  <w:footnote w:type="continuationSeparator" w:id="1">
    <w:p w:rsidR="00D47C79" w:rsidRDefault="00D47C79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36118"/>
    <w:multiLevelType w:val="hybridMultilevel"/>
    <w:tmpl w:val="289C38C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824AE7"/>
    <w:multiLevelType w:val="hybridMultilevel"/>
    <w:tmpl w:val="180E54E4"/>
    <w:lvl w:ilvl="0" w:tplc="040C0001">
      <w:start w:val="3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3FAE833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">
    <w:nsid w:val="4ED16C92"/>
    <w:multiLevelType w:val="hybridMultilevel"/>
    <w:tmpl w:val="AAE82E62"/>
    <w:lvl w:ilvl="0" w:tplc="040C000B">
      <w:start w:val="35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76259C9"/>
    <w:multiLevelType w:val="hybridMultilevel"/>
    <w:tmpl w:val="0B80765C"/>
    <w:lvl w:ilvl="0" w:tplc="3FAE83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3BFD"/>
    <w:rsid w:val="000255A6"/>
    <w:rsid w:val="00026624"/>
    <w:rsid w:val="00030128"/>
    <w:rsid w:val="00032503"/>
    <w:rsid w:val="00034E92"/>
    <w:rsid w:val="00047C8F"/>
    <w:rsid w:val="00050CA3"/>
    <w:rsid w:val="000522C8"/>
    <w:rsid w:val="00053E05"/>
    <w:rsid w:val="00053E62"/>
    <w:rsid w:val="00056607"/>
    <w:rsid w:val="000569BE"/>
    <w:rsid w:val="0006122F"/>
    <w:rsid w:val="000622B4"/>
    <w:rsid w:val="0006340D"/>
    <w:rsid w:val="000647CF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4A7B"/>
    <w:rsid w:val="000D7C84"/>
    <w:rsid w:val="000E49E2"/>
    <w:rsid w:val="000E6407"/>
    <w:rsid w:val="000E7C3C"/>
    <w:rsid w:val="000F0F25"/>
    <w:rsid w:val="000F1F11"/>
    <w:rsid w:val="000F42F2"/>
    <w:rsid w:val="000F6160"/>
    <w:rsid w:val="000F7E85"/>
    <w:rsid w:val="0010290E"/>
    <w:rsid w:val="001030C3"/>
    <w:rsid w:val="001123B3"/>
    <w:rsid w:val="001135FA"/>
    <w:rsid w:val="00114573"/>
    <w:rsid w:val="001249F2"/>
    <w:rsid w:val="00130552"/>
    <w:rsid w:val="00130B13"/>
    <w:rsid w:val="00135929"/>
    <w:rsid w:val="00135C50"/>
    <w:rsid w:val="00152EE6"/>
    <w:rsid w:val="00161CEF"/>
    <w:rsid w:val="00163CC3"/>
    <w:rsid w:val="001644F0"/>
    <w:rsid w:val="0016462B"/>
    <w:rsid w:val="00165277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58FA"/>
    <w:rsid w:val="001F7A8A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7499"/>
    <w:rsid w:val="00233D48"/>
    <w:rsid w:val="00241906"/>
    <w:rsid w:val="00241E74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08F"/>
    <w:rsid w:val="002A1A7A"/>
    <w:rsid w:val="002A325A"/>
    <w:rsid w:val="002A34D9"/>
    <w:rsid w:val="002A6332"/>
    <w:rsid w:val="002B0E11"/>
    <w:rsid w:val="002B1A62"/>
    <w:rsid w:val="002B2555"/>
    <w:rsid w:val="002B396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051F2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35867"/>
    <w:rsid w:val="0034106A"/>
    <w:rsid w:val="003470AF"/>
    <w:rsid w:val="00351464"/>
    <w:rsid w:val="0035217E"/>
    <w:rsid w:val="003572C5"/>
    <w:rsid w:val="00357537"/>
    <w:rsid w:val="0036032D"/>
    <w:rsid w:val="00360AF3"/>
    <w:rsid w:val="0036550B"/>
    <w:rsid w:val="003715F3"/>
    <w:rsid w:val="0037255C"/>
    <w:rsid w:val="00375986"/>
    <w:rsid w:val="00381075"/>
    <w:rsid w:val="003866DD"/>
    <w:rsid w:val="003877E4"/>
    <w:rsid w:val="00392255"/>
    <w:rsid w:val="00393E19"/>
    <w:rsid w:val="003951C5"/>
    <w:rsid w:val="0039662E"/>
    <w:rsid w:val="00397862"/>
    <w:rsid w:val="003A28D9"/>
    <w:rsid w:val="003A3A6C"/>
    <w:rsid w:val="003A5719"/>
    <w:rsid w:val="003B5CC4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D7C98"/>
    <w:rsid w:val="003E304A"/>
    <w:rsid w:val="003E39C8"/>
    <w:rsid w:val="003E3FBB"/>
    <w:rsid w:val="003E6290"/>
    <w:rsid w:val="003E7609"/>
    <w:rsid w:val="003E7921"/>
    <w:rsid w:val="003E7CB6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0C22"/>
    <w:rsid w:val="0042324A"/>
    <w:rsid w:val="00423ED8"/>
    <w:rsid w:val="004318D1"/>
    <w:rsid w:val="00432172"/>
    <w:rsid w:val="004327D6"/>
    <w:rsid w:val="00433123"/>
    <w:rsid w:val="004360B4"/>
    <w:rsid w:val="0044236D"/>
    <w:rsid w:val="0044678C"/>
    <w:rsid w:val="00446E65"/>
    <w:rsid w:val="0044779E"/>
    <w:rsid w:val="00447FB6"/>
    <w:rsid w:val="00450436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24DB"/>
    <w:rsid w:val="004846C3"/>
    <w:rsid w:val="004866EF"/>
    <w:rsid w:val="00491A6A"/>
    <w:rsid w:val="0049753F"/>
    <w:rsid w:val="004A1BCC"/>
    <w:rsid w:val="004A4264"/>
    <w:rsid w:val="004A7407"/>
    <w:rsid w:val="004A7969"/>
    <w:rsid w:val="004B00FF"/>
    <w:rsid w:val="004B1834"/>
    <w:rsid w:val="004B1A1C"/>
    <w:rsid w:val="004B4AD0"/>
    <w:rsid w:val="004C4156"/>
    <w:rsid w:val="004C5FCD"/>
    <w:rsid w:val="004D1A48"/>
    <w:rsid w:val="004D637E"/>
    <w:rsid w:val="004D721C"/>
    <w:rsid w:val="004E585F"/>
    <w:rsid w:val="004F00AB"/>
    <w:rsid w:val="004F010A"/>
    <w:rsid w:val="004F367B"/>
    <w:rsid w:val="00502F9A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347E6"/>
    <w:rsid w:val="005409E0"/>
    <w:rsid w:val="00541328"/>
    <w:rsid w:val="00542CCE"/>
    <w:rsid w:val="00545108"/>
    <w:rsid w:val="00545804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C56FD"/>
    <w:rsid w:val="005C6672"/>
    <w:rsid w:val="005C7C00"/>
    <w:rsid w:val="005D384B"/>
    <w:rsid w:val="005D74F1"/>
    <w:rsid w:val="005D773C"/>
    <w:rsid w:val="005E0B22"/>
    <w:rsid w:val="005E1B30"/>
    <w:rsid w:val="005E2C07"/>
    <w:rsid w:val="005E2CA2"/>
    <w:rsid w:val="005E3D7C"/>
    <w:rsid w:val="005E5128"/>
    <w:rsid w:val="005E518C"/>
    <w:rsid w:val="005E51C4"/>
    <w:rsid w:val="005E701D"/>
    <w:rsid w:val="005F0687"/>
    <w:rsid w:val="005F17F2"/>
    <w:rsid w:val="005F7FA9"/>
    <w:rsid w:val="0060279D"/>
    <w:rsid w:val="00604894"/>
    <w:rsid w:val="006109C6"/>
    <w:rsid w:val="00612C19"/>
    <w:rsid w:val="00615325"/>
    <w:rsid w:val="006169CD"/>
    <w:rsid w:val="00620A36"/>
    <w:rsid w:val="0062524E"/>
    <w:rsid w:val="00625418"/>
    <w:rsid w:val="0063406C"/>
    <w:rsid w:val="00637445"/>
    <w:rsid w:val="006406CA"/>
    <w:rsid w:val="00640E14"/>
    <w:rsid w:val="00640F0F"/>
    <w:rsid w:val="0064424B"/>
    <w:rsid w:val="0064676B"/>
    <w:rsid w:val="00647A08"/>
    <w:rsid w:val="00650AB5"/>
    <w:rsid w:val="006553BA"/>
    <w:rsid w:val="006554B1"/>
    <w:rsid w:val="006570F9"/>
    <w:rsid w:val="00660C1E"/>
    <w:rsid w:val="006617E4"/>
    <w:rsid w:val="00671239"/>
    <w:rsid w:val="006726A5"/>
    <w:rsid w:val="00676AB4"/>
    <w:rsid w:val="00677A7D"/>
    <w:rsid w:val="006810D5"/>
    <w:rsid w:val="00681BBC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39D3"/>
    <w:rsid w:val="00717354"/>
    <w:rsid w:val="00717ABF"/>
    <w:rsid w:val="00733838"/>
    <w:rsid w:val="00733DEF"/>
    <w:rsid w:val="00734DF6"/>
    <w:rsid w:val="00734F0D"/>
    <w:rsid w:val="00737955"/>
    <w:rsid w:val="00737D6C"/>
    <w:rsid w:val="00743B75"/>
    <w:rsid w:val="007450E0"/>
    <w:rsid w:val="00757FF3"/>
    <w:rsid w:val="00763384"/>
    <w:rsid w:val="007643BF"/>
    <w:rsid w:val="00764CAC"/>
    <w:rsid w:val="007657FF"/>
    <w:rsid w:val="00767F4E"/>
    <w:rsid w:val="0077084F"/>
    <w:rsid w:val="00770B91"/>
    <w:rsid w:val="0078399D"/>
    <w:rsid w:val="00786382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800EE4"/>
    <w:rsid w:val="00801FB2"/>
    <w:rsid w:val="00802D55"/>
    <w:rsid w:val="0081198B"/>
    <w:rsid w:val="00812393"/>
    <w:rsid w:val="00812620"/>
    <w:rsid w:val="00812E9F"/>
    <w:rsid w:val="00817FD7"/>
    <w:rsid w:val="0082055B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3F58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72C2"/>
    <w:rsid w:val="009200FA"/>
    <w:rsid w:val="009305B7"/>
    <w:rsid w:val="00931293"/>
    <w:rsid w:val="0093496C"/>
    <w:rsid w:val="009359C0"/>
    <w:rsid w:val="009457D7"/>
    <w:rsid w:val="009510E1"/>
    <w:rsid w:val="00951B65"/>
    <w:rsid w:val="009564F7"/>
    <w:rsid w:val="009577B1"/>
    <w:rsid w:val="0096224C"/>
    <w:rsid w:val="00965566"/>
    <w:rsid w:val="00970A6F"/>
    <w:rsid w:val="00972FAE"/>
    <w:rsid w:val="0097399E"/>
    <w:rsid w:val="009767D9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4D97"/>
    <w:rsid w:val="009A502A"/>
    <w:rsid w:val="009B1A76"/>
    <w:rsid w:val="009B270A"/>
    <w:rsid w:val="009B3880"/>
    <w:rsid w:val="009C0E43"/>
    <w:rsid w:val="009C192A"/>
    <w:rsid w:val="009C3950"/>
    <w:rsid w:val="009C5C99"/>
    <w:rsid w:val="009C7354"/>
    <w:rsid w:val="009C789A"/>
    <w:rsid w:val="009D0EF6"/>
    <w:rsid w:val="009D1341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625E"/>
    <w:rsid w:val="00A1744B"/>
    <w:rsid w:val="00A1789F"/>
    <w:rsid w:val="00A20DC4"/>
    <w:rsid w:val="00A22FCD"/>
    <w:rsid w:val="00A24593"/>
    <w:rsid w:val="00A2645D"/>
    <w:rsid w:val="00A3168C"/>
    <w:rsid w:val="00A35ABF"/>
    <w:rsid w:val="00A35FE3"/>
    <w:rsid w:val="00A36ED7"/>
    <w:rsid w:val="00A376AF"/>
    <w:rsid w:val="00A37F09"/>
    <w:rsid w:val="00A4227D"/>
    <w:rsid w:val="00A45BEA"/>
    <w:rsid w:val="00A513F4"/>
    <w:rsid w:val="00A53F07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4568"/>
    <w:rsid w:val="00A76040"/>
    <w:rsid w:val="00A776B3"/>
    <w:rsid w:val="00A81FA2"/>
    <w:rsid w:val="00A826DD"/>
    <w:rsid w:val="00A85A5B"/>
    <w:rsid w:val="00A86459"/>
    <w:rsid w:val="00A87874"/>
    <w:rsid w:val="00A9504C"/>
    <w:rsid w:val="00AA062F"/>
    <w:rsid w:val="00AA1A06"/>
    <w:rsid w:val="00AA1BDF"/>
    <w:rsid w:val="00AA2119"/>
    <w:rsid w:val="00AA51A4"/>
    <w:rsid w:val="00AA5CCB"/>
    <w:rsid w:val="00AA6FAC"/>
    <w:rsid w:val="00AA7620"/>
    <w:rsid w:val="00AA7773"/>
    <w:rsid w:val="00AA78C4"/>
    <w:rsid w:val="00AB1F94"/>
    <w:rsid w:val="00AC4ADB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F40AC"/>
    <w:rsid w:val="00B0459C"/>
    <w:rsid w:val="00B11B60"/>
    <w:rsid w:val="00B123D4"/>
    <w:rsid w:val="00B12697"/>
    <w:rsid w:val="00B132A6"/>
    <w:rsid w:val="00B17F37"/>
    <w:rsid w:val="00B218B6"/>
    <w:rsid w:val="00B25D63"/>
    <w:rsid w:val="00B263E8"/>
    <w:rsid w:val="00B27E18"/>
    <w:rsid w:val="00B314EC"/>
    <w:rsid w:val="00B33232"/>
    <w:rsid w:val="00B42236"/>
    <w:rsid w:val="00B43CFE"/>
    <w:rsid w:val="00B44724"/>
    <w:rsid w:val="00B50200"/>
    <w:rsid w:val="00B53F01"/>
    <w:rsid w:val="00B53F08"/>
    <w:rsid w:val="00B557FA"/>
    <w:rsid w:val="00B55A38"/>
    <w:rsid w:val="00B607A3"/>
    <w:rsid w:val="00B608D3"/>
    <w:rsid w:val="00B61221"/>
    <w:rsid w:val="00B61C98"/>
    <w:rsid w:val="00B623CA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F31"/>
    <w:rsid w:val="00BC1DB4"/>
    <w:rsid w:val="00BC2279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147BF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6026E"/>
    <w:rsid w:val="00C61BC5"/>
    <w:rsid w:val="00C74A9F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AE2"/>
    <w:rsid w:val="00CD47DF"/>
    <w:rsid w:val="00CE0CA7"/>
    <w:rsid w:val="00CE2C1F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6CB6"/>
    <w:rsid w:val="00D36D37"/>
    <w:rsid w:val="00D40011"/>
    <w:rsid w:val="00D432CA"/>
    <w:rsid w:val="00D46548"/>
    <w:rsid w:val="00D47C79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40AF"/>
    <w:rsid w:val="00D80697"/>
    <w:rsid w:val="00D84D87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4BD2"/>
    <w:rsid w:val="00DC65A1"/>
    <w:rsid w:val="00DC6BE5"/>
    <w:rsid w:val="00DD00E5"/>
    <w:rsid w:val="00DD1BE9"/>
    <w:rsid w:val="00DD3BC8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DF7826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50F0"/>
    <w:rsid w:val="00E53669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3BBB"/>
    <w:rsid w:val="00E9653F"/>
    <w:rsid w:val="00EA301A"/>
    <w:rsid w:val="00EA3C05"/>
    <w:rsid w:val="00EA43E8"/>
    <w:rsid w:val="00EA59EA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7F74"/>
    <w:rsid w:val="00F0318E"/>
    <w:rsid w:val="00F04655"/>
    <w:rsid w:val="00F04FA0"/>
    <w:rsid w:val="00F059B7"/>
    <w:rsid w:val="00F119BC"/>
    <w:rsid w:val="00F13CE5"/>
    <w:rsid w:val="00F13E7C"/>
    <w:rsid w:val="00F14204"/>
    <w:rsid w:val="00F23A89"/>
    <w:rsid w:val="00F24303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253B"/>
    <w:rsid w:val="00F8440A"/>
    <w:rsid w:val="00F900CB"/>
    <w:rsid w:val="00F91B35"/>
    <w:rsid w:val="00FA50C5"/>
    <w:rsid w:val="00FA5F3C"/>
    <w:rsid w:val="00FB04C0"/>
    <w:rsid w:val="00FB0D8F"/>
    <w:rsid w:val="00FB295F"/>
    <w:rsid w:val="00FB2E9D"/>
    <w:rsid w:val="00FC2DC7"/>
    <w:rsid w:val="00FC59C1"/>
    <w:rsid w:val="00FC7740"/>
    <w:rsid w:val="00FD5C46"/>
    <w:rsid w:val="00FD6497"/>
    <w:rsid w:val="00FE0DF2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D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CC5E2-D66B-4702-9957-140DD7A2C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2582</TotalTime>
  <Pages>3</Pages>
  <Words>559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205</cp:revision>
  <cp:lastPrinted>2014-05-29T13:34:00Z</cp:lastPrinted>
  <dcterms:created xsi:type="dcterms:W3CDTF">2014-05-02T20:48:00Z</dcterms:created>
  <dcterms:modified xsi:type="dcterms:W3CDTF">2016-04-05T09:56:00Z</dcterms:modified>
</cp:coreProperties>
</file>