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F34" w:rsidRPr="0026431D" w:rsidRDefault="00EE6F34" w:rsidP="00CD31E7">
      <w:pPr>
        <w:spacing w:after="0"/>
        <w:jc w:val="center"/>
        <w:rPr>
          <w:b/>
          <w:bCs/>
          <w:sz w:val="32"/>
          <w:szCs w:val="32"/>
          <w:u w:val="double"/>
        </w:rPr>
      </w:pPr>
      <w:r w:rsidRPr="0026431D">
        <w:rPr>
          <w:b/>
          <w:bCs/>
          <w:sz w:val="32"/>
          <w:szCs w:val="32"/>
          <w:u w:val="double"/>
        </w:rPr>
        <w:t>LES DIURETIQUES</w:t>
      </w:r>
    </w:p>
    <w:p w:rsidR="0026431D" w:rsidRDefault="0026431D" w:rsidP="00CD31E7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836AB5" w:rsidRPr="0026431D" w:rsidRDefault="00836AB5" w:rsidP="00836AB5">
      <w:pPr>
        <w:rPr>
          <w:b/>
          <w:bCs/>
          <w:color w:val="0000FF"/>
          <w:sz w:val="32"/>
          <w:szCs w:val="32"/>
          <w:u w:val="double"/>
        </w:rPr>
      </w:pPr>
      <w:r w:rsidRPr="0026431D">
        <w:rPr>
          <w:b/>
          <w:bCs/>
          <w:color w:val="0000FF"/>
          <w:sz w:val="32"/>
          <w:szCs w:val="32"/>
          <w:u w:val="double"/>
        </w:rPr>
        <w:t xml:space="preserve">Physiologie : </w:t>
      </w:r>
    </w:p>
    <w:p w:rsidR="00836AB5" w:rsidRPr="0026431D" w:rsidRDefault="00836AB5" w:rsidP="00836AB5">
      <w:pPr>
        <w:pStyle w:val="Paragraphedeliste"/>
        <w:numPr>
          <w:ilvl w:val="0"/>
          <w:numId w:val="3"/>
        </w:numPr>
        <w:rPr>
          <w:sz w:val="28"/>
          <w:szCs w:val="28"/>
        </w:rPr>
      </w:pPr>
      <w:r w:rsidRPr="0026431D">
        <w:rPr>
          <w:b/>
          <w:bCs/>
          <w:sz w:val="28"/>
          <w:szCs w:val="28"/>
        </w:rPr>
        <w:t>Au niveau du TCP :</w:t>
      </w:r>
      <w:r w:rsidRPr="0026431D">
        <w:rPr>
          <w:sz w:val="28"/>
          <w:szCs w:val="28"/>
        </w:rPr>
        <w:t xml:space="preserve"> réabsorption des 2/3 du Na+ et bicarbonate filtrés par le glomérule</w:t>
      </w:r>
    </w:p>
    <w:p w:rsidR="00836AB5" w:rsidRPr="0026431D" w:rsidRDefault="00836AB5" w:rsidP="00836AB5">
      <w:pPr>
        <w:pStyle w:val="Paragraphedeliste"/>
        <w:numPr>
          <w:ilvl w:val="0"/>
          <w:numId w:val="3"/>
        </w:numPr>
        <w:rPr>
          <w:sz w:val="28"/>
          <w:szCs w:val="28"/>
        </w:rPr>
      </w:pPr>
      <w:r w:rsidRPr="0026431D">
        <w:rPr>
          <w:b/>
          <w:bCs/>
          <w:sz w:val="28"/>
          <w:szCs w:val="28"/>
        </w:rPr>
        <w:t>Au niveau de la BAH </w:t>
      </w:r>
      <w:r w:rsidRPr="0026431D">
        <w:rPr>
          <w:sz w:val="28"/>
          <w:szCs w:val="28"/>
        </w:rPr>
        <w:t>: réabsorption active de 25% du Na+ et Cl-</w:t>
      </w:r>
    </w:p>
    <w:p w:rsidR="00836AB5" w:rsidRPr="0026431D" w:rsidRDefault="00836AB5" w:rsidP="00836AB5">
      <w:pPr>
        <w:pStyle w:val="Paragraphedeliste"/>
        <w:numPr>
          <w:ilvl w:val="0"/>
          <w:numId w:val="3"/>
        </w:numPr>
        <w:rPr>
          <w:sz w:val="28"/>
          <w:szCs w:val="28"/>
        </w:rPr>
      </w:pPr>
      <w:r w:rsidRPr="0026431D">
        <w:rPr>
          <w:b/>
          <w:bCs/>
          <w:sz w:val="28"/>
          <w:szCs w:val="28"/>
        </w:rPr>
        <w:t>Au niveau de la branche terminale du TCD :</w:t>
      </w:r>
      <w:r w:rsidRPr="0026431D">
        <w:rPr>
          <w:sz w:val="28"/>
          <w:szCs w:val="28"/>
        </w:rPr>
        <w:t xml:space="preserve"> réabsorption active du Na sous l’action de l’</w:t>
      </w:r>
      <w:r w:rsidRPr="0026431D">
        <w:rPr>
          <w:sz w:val="28"/>
          <w:szCs w:val="28"/>
          <w:u w:val="single"/>
        </w:rPr>
        <w:t>aldostérone</w:t>
      </w:r>
      <w:r w:rsidRPr="0026431D">
        <w:rPr>
          <w:sz w:val="28"/>
          <w:szCs w:val="28"/>
        </w:rPr>
        <w:t xml:space="preserve"> </w:t>
      </w:r>
    </w:p>
    <w:p w:rsidR="00836AB5" w:rsidRPr="0026431D" w:rsidRDefault="00836AB5" w:rsidP="00836AB5">
      <w:pPr>
        <w:pStyle w:val="Paragraphedeliste"/>
        <w:numPr>
          <w:ilvl w:val="0"/>
          <w:numId w:val="3"/>
        </w:numPr>
        <w:rPr>
          <w:sz w:val="28"/>
          <w:szCs w:val="28"/>
        </w:rPr>
      </w:pPr>
      <w:r w:rsidRPr="0026431D">
        <w:rPr>
          <w:b/>
          <w:bCs/>
          <w:sz w:val="28"/>
          <w:szCs w:val="28"/>
        </w:rPr>
        <w:t>Au niveau du TC :</w:t>
      </w:r>
      <w:r w:rsidRPr="0026431D">
        <w:rPr>
          <w:sz w:val="28"/>
          <w:szCs w:val="28"/>
        </w:rPr>
        <w:t xml:space="preserve"> réabsorption passive du Na+ sous l’action de l’ADH</w:t>
      </w:r>
    </w:p>
    <w:p w:rsidR="00836AB5" w:rsidRPr="0026431D" w:rsidRDefault="00836AB5" w:rsidP="00836AB5">
      <w:pPr>
        <w:rPr>
          <w:b/>
          <w:bCs/>
          <w:color w:val="0000FF"/>
          <w:sz w:val="32"/>
          <w:szCs w:val="32"/>
          <w:u w:val="double"/>
        </w:rPr>
      </w:pPr>
      <w:r w:rsidRPr="0026431D">
        <w:rPr>
          <w:b/>
          <w:bCs/>
          <w:color w:val="0000FF"/>
          <w:sz w:val="32"/>
          <w:szCs w:val="32"/>
          <w:u w:val="double"/>
        </w:rPr>
        <w:t>Classification :</w:t>
      </w:r>
    </w:p>
    <w:p w:rsidR="00836AB5" w:rsidRPr="0026431D" w:rsidRDefault="00836AB5" w:rsidP="00836AB5">
      <w:pPr>
        <w:pStyle w:val="Paragraphedeliste"/>
        <w:numPr>
          <w:ilvl w:val="0"/>
          <w:numId w:val="4"/>
        </w:numPr>
        <w:rPr>
          <w:sz w:val="28"/>
          <w:szCs w:val="28"/>
        </w:rPr>
      </w:pPr>
      <w:r w:rsidRPr="0026431D">
        <w:rPr>
          <w:b/>
          <w:bCs/>
          <w:sz w:val="28"/>
          <w:szCs w:val="28"/>
        </w:rPr>
        <w:t>Diurétiques Hypokaliémiants :</w:t>
      </w:r>
      <w:r w:rsidRPr="0026431D">
        <w:rPr>
          <w:sz w:val="28"/>
          <w:szCs w:val="28"/>
        </w:rPr>
        <w:t xml:space="preserve"> D. de l’anse + D. thiazidiques</w:t>
      </w:r>
    </w:p>
    <w:p w:rsidR="00836AB5" w:rsidRPr="0026431D" w:rsidRDefault="00836AB5" w:rsidP="00836AB5">
      <w:pPr>
        <w:pStyle w:val="Paragraphedeliste"/>
        <w:numPr>
          <w:ilvl w:val="0"/>
          <w:numId w:val="4"/>
        </w:numPr>
        <w:rPr>
          <w:sz w:val="28"/>
          <w:szCs w:val="28"/>
        </w:rPr>
      </w:pPr>
      <w:r w:rsidRPr="0026431D">
        <w:rPr>
          <w:b/>
          <w:bCs/>
          <w:sz w:val="28"/>
          <w:szCs w:val="28"/>
        </w:rPr>
        <w:t>Diurétiques Hyperkaliémiants :</w:t>
      </w:r>
      <w:r w:rsidRPr="0026431D">
        <w:rPr>
          <w:sz w:val="28"/>
          <w:szCs w:val="28"/>
        </w:rPr>
        <w:t xml:space="preserve"> Antialdostérones + Pseudo Antialdostérone</w:t>
      </w:r>
    </w:p>
    <w:p w:rsidR="00836AB5" w:rsidRDefault="00836AB5" w:rsidP="00CD31E7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836AB5" w:rsidRDefault="00836AB5" w:rsidP="00CD31E7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836AB5" w:rsidRDefault="00836AB5" w:rsidP="00CD31E7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836AB5" w:rsidRDefault="00836AB5" w:rsidP="00CD31E7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836AB5" w:rsidRDefault="00836AB5" w:rsidP="00CD31E7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836AB5" w:rsidRDefault="00836AB5" w:rsidP="00CD31E7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836AB5" w:rsidRDefault="00836AB5" w:rsidP="00CD31E7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836AB5" w:rsidRDefault="00836AB5" w:rsidP="00CD31E7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836AB5" w:rsidRDefault="00836AB5" w:rsidP="00CD31E7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836AB5" w:rsidRDefault="00836AB5" w:rsidP="00CD31E7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836AB5" w:rsidRDefault="00836AB5" w:rsidP="00CD31E7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836AB5" w:rsidRDefault="00836AB5" w:rsidP="00CD31E7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836AB5" w:rsidRDefault="00836AB5" w:rsidP="00CD31E7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836AB5" w:rsidRDefault="00836AB5" w:rsidP="00CD31E7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EE6F34" w:rsidRDefault="00EE6F34" w:rsidP="0026431D">
      <w:pPr>
        <w:spacing w:after="0"/>
      </w:pPr>
    </w:p>
    <w:tbl>
      <w:tblPr>
        <w:tblStyle w:val="Grilledutableau"/>
        <w:tblW w:w="0" w:type="auto"/>
        <w:tblLook w:val="04A0"/>
      </w:tblPr>
      <w:tblGrid>
        <w:gridCol w:w="1951"/>
        <w:gridCol w:w="4584"/>
        <w:gridCol w:w="4584"/>
        <w:gridCol w:w="4585"/>
      </w:tblGrid>
      <w:tr w:rsidR="003D5761" w:rsidTr="00AC08F6">
        <w:trPr>
          <w:trHeight w:val="278"/>
        </w:trPr>
        <w:tc>
          <w:tcPr>
            <w:tcW w:w="1951" w:type="dxa"/>
          </w:tcPr>
          <w:p w:rsidR="006545CC" w:rsidRPr="003D5761" w:rsidRDefault="006545CC" w:rsidP="00AC08F6"/>
        </w:tc>
        <w:tc>
          <w:tcPr>
            <w:tcW w:w="4584" w:type="dxa"/>
          </w:tcPr>
          <w:p w:rsidR="00A04181" w:rsidRPr="003D5761" w:rsidRDefault="006545CC" w:rsidP="00AC08F6">
            <w:pPr>
              <w:jc w:val="center"/>
              <w:rPr>
                <w:b/>
                <w:bCs/>
                <w:sz w:val="24"/>
                <w:szCs w:val="24"/>
              </w:rPr>
            </w:pPr>
            <w:r w:rsidRPr="003D5761">
              <w:rPr>
                <w:b/>
                <w:bCs/>
                <w:sz w:val="24"/>
                <w:szCs w:val="24"/>
              </w:rPr>
              <w:t>Diurétiques de l’anse</w:t>
            </w:r>
          </w:p>
        </w:tc>
        <w:tc>
          <w:tcPr>
            <w:tcW w:w="4584" w:type="dxa"/>
          </w:tcPr>
          <w:p w:rsidR="006545CC" w:rsidRPr="003D5761" w:rsidRDefault="006545CC" w:rsidP="00AC08F6">
            <w:pPr>
              <w:jc w:val="center"/>
              <w:rPr>
                <w:b/>
                <w:bCs/>
                <w:sz w:val="24"/>
                <w:szCs w:val="24"/>
              </w:rPr>
            </w:pPr>
            <w:r w:rsidRPr="003D5761">
              <w:rPr>
                <w:b/>
                <w:bCs/>
                <w:sz w:val="24"/>
                <w:szCs w:val="24"/>
              </w:rPr>
              <w:t>Diurétiques thiazidiques</w:t>
            </w:r>
          </w:p>
        </w:tc>
        <w:tc>
          <w:tcPr>
            <w:tcW w:w="4585" w:type="dxa"/>
          </w:tcPr>
          <w:p w:rsidR="006545CC" w:rsidRPr="003D5761" w:rsidRDefault="006545CC" w:rsidP="00AC08F6">
            <w:pPr>
              <w:jc w:val="center"/>
              <w:rPr>
                <w:b/>
                <w:bCs/>
                <w:sz w:val="24"/>
                <w:szCs w:val="24"/>
              </w:rPr>
            </w:pPr>
            <w:r w:rsidRPr="003D5761">
              <w:rPr>
                <w:b/>
                <w:bCs/>
                <w:sz w:val="24"/>
                <w:szCs w:val="24"/>
              </w:rPr>
              <w:t>Diurétiques</w:t>
            </w:r>
            <w:r w:rsidR="00F26660" w:rsidRPr="003D5761">
              <w:rPr>
                <w:b/>
                <w:bCs/>
                <w:sz w:val="24"/>
                <w:szCs w:val="24"/>
              </w:rPr>
              <w:t xml:space="preserve"> distaux</w:t>
            </w:r>
          </w:p>
        </w:tc>
      </w:tr>
      <w:tr w:rsidR="00AC08F6" w:rsidTr="00AC08F6">
        <w:trPr>
          <w:trHeight w:val="217"/>
        </w:trPr>
        <w:tc>
          <w:tcPr>
            <w:tcW w:w="1951" w:type="dxa"/>
            <w:vAlign w:val="center"/>
          </w:tcPr>
          <w:p w:rsidR="00A04181" w:rsidRPr="003D5761" w:rsidRDefault="00F50AE6" w:rsidP="00AC08F6">
            <w:pPr>
              <w:rPr>
                <w:b/>
                <w:bCs/>
              </w:rPr>
            </w:pPr>
            <w:r w:rsidRPr="003D5761">
              <w:rPr>
                <w:b/>
                <w:bCs/>
              </w:rPr>
              <w:t>Molécules</w:t>
            </w:r>
          </w:p>
        </w:tc>
        <w:tc>
          <w:tcPr>
            <w:tcW w:w="4584" w:type="dxa"/>
          </w:tcPr>
          <w:p w:rsidR="00A04181" w:rsidRPr="003D5761" w:rsidRDefault="00A04181" w:rsidP="00AC08F6">
            <w:r w:rsidRPr="003D5761">
              <w:t>Furosémide</w:t>
            </w:r>
          </w:p>
        </w:tc>
        <w:tc>
          <w:tcPr>
            <w:tcW w:w="4584" w:type="dxa"/>
          </w:tcPr>
          <w:p w:rsidR="00A04181" w:rsidRPr="003D5761" w:rsidRDefault="00A04181" w:rsidP="00AC08F6">
            <w:r w:rsidRPr="003D5761">
              <w:t>Hydrochlorothiazide</w:t>
            </w:r>
          </w:p>
        </w:tc>
        <w:tc>
          <w:tcPr>
            <w:tcW w:w="4585" w:type="dxa"/>
          </w:tcPr>
          <w:p w:rsidR="00A04181" w:rsidRPr="003D5761" w:rsidRDefault="00A04181" w:rsidP="00AC08F6">
            <w:pPr>
              <w:rPr>
                <w:b/>
                <w:bCs/>
              </w:rPr>
            </w:pPr>
            <w:r w:rsidRPr="003D5761">
              <w:rPr>
                <w:b/>
                <w:bCs/>
              </w:rPr>
              <w:t xml:space="preserve">A action directe : </w:t>
            </w:r>
            <w:r w:rsidRPr="00926157">
              <w:rPr>
                <w:highlight w:val="cyan"/>
              </w:rPr>
              <w:t>Amiloride</w:t>
            </w:r>
          </w:p>
          <w:p w:rsidR="00A04181" w:rsidRPr="003D5761" w:rsidRDefault="00A04181" w:rsidP="00AC08F6">
            <w:pPr>
              <w:rPr>
                <w:b/>
                <w:bCs/>
              </w:rPr>
            </w:pPr>
            <w:r w:rsidRPr="003D5761">
              <w:rPr>
                <w:b/>
                <w:bCs/>
              </w:rPr>
              <w:t xml:space="preserve">Anti-aldostérone : </w:t>
            </w:r>
            <w:r w:rsidRPr="00926157">
              <w:rPr>
                <w:highlight w:val="cyan"/>
              </w:rPr>
              <w:t>Spironolactone</w:t>
            </w:r>
          </w:p>
        </w:tc>
      </w:tr>
      <w:tr w:rsidR="003D5761" w:rsidTr="00AC08F6">
        <w:tc>
          <w:tcPr>
            <w:tcW w:w="1951" w:type="dxa"/>
            <w:vAlign w:val="center"/>
          </w:tcPr>
          <w:p w:rsidR="00A04181" w:rsidRPr="003D5761" w:rsidRDefault="00F50AE6" w:rsidP="00AC08F6">
            <w:pPr>
              <w:rPr>
                <w:b/>
                <w:bCs/>
              </w:rPr>
            </w:pPr>
            <w:r w:rsidRPr="003D5761">
              <w:rPr>
                <w:b/>
                <w:bCs/>
              </w:rPr>
              <w:t>Site d’action</w:t>
            </w:r>
          </w:p>
        </w:tc>
        <w:tc>
          <w:tcPr>
            <w:tcW w:w="4584" w:type="dxa"/>
          </w:tcPr>
          <w:p w:rsidR="00A04181" w:rsidRPr="003742FA" w:rsidRDefault="00A04181" w:rsidP="00AC08F6">
            <w:r w:rsidRPr="003742FA">
              <w:t>La partie large de la branche ascendante de l’</w:t>
            </w:r>
            <w:r w:rsidR="00456EAE" w:rsidRPr="003742FA">
              <w:t>anse de Henlé</w:t>
            </w:r>
          </w:p>
        </w:tc>
        <w:tc>
          <w:tcPr>
            <w:tcW w:w="4584" w:type="dxa"/>
          </w:tcPr>
          <w:p w:rsidR="00A04181" w:rsidRPr="003742FA" w:rsidRDefault="00A04181" w:rsidP="00AC08F6">
            <w:r w:rsidRPr="003742FA">
              <w:t>La première partie du tube distal</w:t>
            </w:r>
          </w:p>
        </w:tc>
        <w:tc>
          <w:tcPr>
            <w:tcW w:w="4585" w:type="dxa"/>
          </w:tcPr>
          <w:p w:rsidR="00A04181" w:rsidRPr="003742FA" w:rsidRDefault="00A04181" w:rsidP="00AC08F6">
            <w:r w:rsidRPr="003742FA">
              <w:t>La partie terminale du tube distal et le canal collecteur</w:t>
            </w:r>
          </w:p>
        </w:tc>
      </w:tr>
      <w:tr w:rsidR="003D5761" w:rsidTr="00AC08F6">
        <w:tc>
          <w:tcPr>
            <w:tcW w:w="1951" w:type="dxa"/>
            <w:vAlign w:val="center"/>
          </w:tcPr>
          <w:p w:rsidR="00A04181" w:rsidRPr="003D5761" w:rsidRDefault="00F50AE6" w:rsidP="00AC08F6">
            <w:pPr>
              <w:rPr>
                <w:b/>
                <w:bCs/>
              </w:rPr>
            </w:pPr>
            <w:r w:rsidRPr="003D5761">
              <w:rPr>
                <w:b/>
                <w:bCs/>
              </w:rPr>
              <w:t>Action</w:t>
            </w:r>
          </w:p>
        </w:tc>
        <w:tc>
          <w:tcPr>
            <w:tcW w:w="4584" w:type="dxa"/>
          </w:tcPr>
          <w:p w:rsidR="00A04181" w:rsidRPr="00926157" w:rsidRDefault="00A04181" w:rsidP="00AC08F6">
            <w:pPr>
              <w:rPr>
                <w:highlight w:val="green"/>
                <w:vertAlign w:val="superscript"/>
              </w:rPr>
            </w:pPr>
            <w:r w:rsidRPr="00926157">
              <w:rPr>
                <w:highlight w:val="green"/>
              </w:rPr>
              <w:t>Inhibent la réabsorption d</w:t>
            </w:r>
            <w:bookmarkStart w:id="0" w:name="_GoBack"/>
            <w:r w:rsidRPr="00926157">
              <w:rPr>
                <w:highlight w:val="green"/>
              </w:rPr>
              <w:t>e</w:t>
            </w:r>
            <w:bookmarkEnd w:id="0"/>
            <w:r w:rsidR="008730A3" w:rsidRPr="00926157">
              <w:rPr>
                <w:highlight w:val="green"/>
              </w:rPr>
              <w:t xml:space="preserve"> Na</w:t>
            </w:r>
            <w:r w:rsidR="008730A3" w:rsidRPr="00926157">
              <w:rPr>
                <w:highlight w:val="green"/>
                <w:vertAlign w:val="superscript"/>
              </w:rPr>
              <w:t>+</w:t>
            </w:r>
            <w:r w:rsidR="00836AB5" w:rsidRPr="00926157">
              <w:rPr>
                <w:highlight w:val="green"/>
              </w:rPr>
              <w:t>, Cl</w:t>
            </w:r>
            <w:r w:rsidR="00836AB5" w:rsidRPr="00926157">
              <w:rPr>
                <w:highlight w:val="green"/>
                <w:vertAlign w:val="superscript"/>
              </w:rPr>
              <w:t xml:space="preserve">- </w:t>
            </w:r>
            <w:r w:rsidR="00836AB5" w:rsidRPr="00926157">
              <w:rPr>
                <w:highlight w:val="green"/>
              </w:rPr>
              <w:t>, K</w:t>
            </w:r>
            <w:r w:rsidR="00836AB5" w:rsidRPr="00926157">
              <w:rPr>
                <w:highlight w:val="green"/>
                <w:vertAlign w:val="superscript"/>
              </w:rPr>
              <w:t>+</w:t>
            </w:r>
          </w:p>
          <w:p w:rsidR="00B93B74" w:rsidRDefault="00A04181" w:rsidP="00B93B74">
            <w:pPr>
              <w:rPr>
                <w:vertAlign w:val="superscript"/>
              </w:rPr>
            </w:pPr>
            <w:r w:rsidRPr="00926157">
              <w:rPr>
                <w:highlight w:val="green"/>
              </w:rPr>
              <w:t>Inhibent la réabsorption de Ca</w:t>
            </w:r>
            <w:r w:rsidRPr="00926157">
              <w:rPr>
                <w:highlight w:val="green"/>
                <w:vertAlign w:val="superscript"/>
              </w:rPr>
              <w:t>2+</w:t>
            </w:r>
            <w:r w:rsidR="00B93B74" w:rsidRPr="00926157">
              <w:rPr>
                <w:highlight w:val="green"/>
                <w:vertAlign w:val="superscript"/>
              </w:rPr>
              <w:t xml:space="preserve"> </w:t>
            </w:r>
            <w:r w:rsidR="00B93B74" w:rsidRPr="00926157">
              <w:rPr>
                <w:highlight w:val="green"/>
              </w:rPr>
              <w:t>, Mg</w:t>
            </w:r>
            <w:r w:rsidR="00B93B74" w:rsidRPr="00926157">
              <w:rPr>
                <w:highlight w:val="green"/>
                <w:vertAlign w:val="superscript"/>
              </w:rPr>
              <w:t>++</w:t>
            </w:r>
            <w:r w:rsidR="00B93B74" w:rsidRPr="00926157">
              <w:rPr>
                <w:highlight w:val="green"/>
              </w:rPr>
              <w:t xml:space="preserve"> , H</w:t>
            </w:r>
            <w:r w:rsidR="00B93B74" w:rsidRPr="00926157">
              <w:rPr>
                <w:highlight w:val="green"/>
                <w:vertAlign w:val="superscript"/>
              </w:rPr>
              <w:t>+</w:t>
            </w:r>
          </w:p>
          <w:p w:rsidR="002475E4" w:rsidRDefault="002475E4" w:rsidP="002475E4">
            <w:r>
              <w:t>Vasodilatation sous l’effet des prostaglandines</w:t>
            </w:r>
          </w:p>
          <w:p w:rsidR="002475E4" w:rsidRDefault="002475E4" w:rsidP="002475E4">
            <w:r>
              <w:t>Diminution de la pression télédiastolique su VG</w:t>
            </w:r>
          </w:p>
          <w:p w:rsidR="002475E4" w:rsidRDefault="002475E4" w:rsidP="002475E4">
            <w:r>
              <w:t>Diminution du retour veineux systémique</w:t>
            </w:r>
          </w:p>
          <w:p w:rsidR="002475E4" w:rsidRPr="002475E4" w:rsidRDefault="002475E4" w:rsidP="002475E4">
            <w:r>
              <w:t>Diminution des résistances artérielles pulm</w:t>
            </w:r>
          </w:p>
        </w:tc>
        <w:tc>
          <w:tcPr>
            <w:tcW w:w="4584" w:type="dxa"/>
          </w:tcPr>
          <w:p w:rsidR="00A04181" w:rsidRPr="003D5761" w:rsidRDefault="00A04181" w:rsidP="00AC08F6">
            <w:r w:rsidRPr="003D5761">
              <w:t>Inhibent la réabsorption de Na</w:t>
            </w:r>
            <w:r w:rsidR="008730A3">
              <w:rPr>
                <w:vertAlign w:val="superscript"/>
              </w:rPr>
              <w:t xml:space="preserve">+ </w:t>
            </w:r>
            <w:r w:rsidR="008730A3">
              <w:t xml:space="preserve">, </w:t>
            </w:r>
            <w:r w:rsidRPr="003D5761">
              <w:t>Cl</w:t>
            </w:r>
            <w:r w:rsidR="008730A3">
              <w:rPr>
                <w:vertAlign w:val="superscript"/>
              </w:rPr>
              <w:t>-</w:t>
            </w:r>
            <w:r w:rsidR="008730A3">
              <w:t xml:space="preserve"> , K</w:t>
            </w:r>
            <w:r w:rsidR="008730A3">
              <w:rPr>
                <w:vertAlign w:val="superscript"/>
              </w:rPr>
              <w:t>+</w:t>
            </w:r>
          </w:p>
          <w:p w:rsidR="00A04181" w:rsidRPr="003D5761" w:rsidRDefault="00A04181" w:rsidP="00AC08F6">
            <w:r w:rsidRPr="00926157">
              <w:rPr>
                <w:highlight w:val="yellow"/>
              </w:rPr>
              <w:t>Augmentent la réabsorption de Ca</w:t>
            </w:r>
            <w:r w:rsidRPr="00926157">
              <w:rPr>
                <w:highlight w:val="yellow"/>
                <w:vertAlign w:val="superscript"/>
              </w:rPr>
              <w:t>2+</w:t>
            </w:r>
          </w:p>
        </w:tc>
        <w:tc>
          <w:tcPr>
            <w:tcW w:w="4585" w:type="dxa"/>
          </w:tcPr>
          <w:p w:rsidR="00A04181" w:rsidRDefault="00A04181" w:rsidP="00AC08F6">
            <w:r w:rsidRPr="00926157">
              <w:rPr>
                <w:highlight w:val="cyan"/>
              </w:rPr>
              <w:t>Bloquent l’action de l’aldostérone</w:t>
            </w:r>
          </w:p>
          <w:p w:rsidR="008D69C3" w:rsidRPr="008D69C3" w:rsidRDefault="008D69C3" w:rsidP="00AC08F6">
            <w:pPr>
              <w:rPr>
                <w:vertAlign w:val="superscript"/>
              </w:rPr>
            </w:pPr>
            <w:r>
              <w:t>Réabsorbe K</w:t>
            </w:r>
            <w:r>
              <w:rPr>
                <w:vertAlign w:val="superscript"/>
              </w:rPr>
              <w:t>+</w:t>
            </w:r>
          </w:p>
        </w:tc>
      </w:tr>
      <w:tr w:rsidR="001D72DE" w:rsidTr="002F26F2">
        <w:trPr>
          <w:trHeight w:val="2636"/>
        </w:trPr>
        <w:tc>
          <w:tcPr>
            <w:tcW w:w="1951" w:type="dxa"/>
            <w:vMerge w:val="restart"/>
            <w:vAlign w:val="center"/>
          </w:tcPr>
          <w:p w:rsidR="001D72DE" w:rsidRPr="003D5761" w:rsidRDefault="001D72DE" w:rsidP="00AC08F6">
            <w:pPr>
              <w:rPr>
                <w:b/>
                <w:bCs/>
              </w:rPr>
            </w:pPr>
            <w:r w:rsidRPr="003D5761">
              <w:rPr>
                <w:b/>
                <w:bCs/>
              </w:rPr>
              <w:t>Effets secondaires</w:t>
            </w:r>
          </w:p>
        </w:tc>
        <w:tc>
          <w:tcPr>
            <w:tcW w:w="4584" w:type="dxa"/>
          </w:tcPr>
          <w:p w:rsidR="001D72DE" w:rsidRPr="003D5761" w:rsidRDefault="001D72DE" w:rsidP="00AC08F6">
            <w:r w:rsidRPr="003D5761">
              <w:t>Déshydratation extracellulaire</w:t>
            </w:r>
          </w:p>
          <w:p w:rsidR="001D72DE" w:rsidRPr="003D5761" w:rsidRDefault="001D72DE" w:rsidP="00AC08F6">
            <w:r w:rsidRPr="003D5761">
              <w:t>Hypotension orthostatique</w:t>
            </w:r>
          </w:p>
          <w:p w:rsidR="001D72DE" w:rsidRPr="003D5761" w:rsidRDefault="001D72DE" w:rsidP="00AC08F6">
            <w:r w:rsidRPr="007F0839">
              <w:rPr>
                <w:highlight w:val="green"/>
              </w:rPr>
              <w:t>Alcalose métabolique</w:t>
            </w:r>
          </w:p>
          <w:p w:rsidR="002475E4" w:rsidRDefault="001D72DE" w:rsidP="003742FA">
            <w:r w:rsidRPr="007F0839">
              <w:rPr>
                <w:highlight w:val="green"/>
              </w:rPr>
              <w:t>Hyponatrémie</w:t>
            </w:r>
            <w:r w:rsidR="003742FA" w:rsidRPr="007F0839">
              <w:rPr>
                <w:highlight w:val="green"/>
              </w:rPr>
              <w:t xml:space="preserve"> </w:t>
            </w:r>
            <w:r w:rsidR="00D6425C" w:rsidRPr="007F0839">
              <w:rPr>
                <w:highlight w:val="green"/>
              </w:rPr>
              <w:t>de dilution</w:t>
            </w:r>
            <w:r w:rsidR="003742FA">
              <w:t xml:space="preserve">– </w:t>
            </w:r>
            <w:r w:rsidRPr="003D0414">
              <w:rPr>
                <w:highlight w:val="green"/>
              </w:rPr>
              <w:t>Hypokaliémie</w:t>
            </w:r>
          </w:p>
          <w:p w:rsidR="001D72DE" w:rsidRPr="003D5761" w:rsidRDefault="001D72DE" w:rsidP="003742FA">
            <w:r w:rsidRPr="007F0839">
              <w:rPr>
                <w:highlight w:val="green"/>
              </w:rPr>
              <w:t>Hypochlorémie</w:t>
            </w:r>
          </w:p>
          <w:p w:rsidR="001D72DE" w:rsidRPr="003D5761" w:rsidRDefault="001D72DE" w:rsidP="00AC08F6">
            <w:r w:rsidRPr="003D5761">
              <w:t>Hypomagnésémie</w:t>
            </w:r>
          </w:p>
          <w:p w:rsidR="001D72DE" w:rsidRPr="003D5761" w:rsidRDefault="001D72DE" w:rsidP="00AC08F6">
            <w:r w:rsidRPr="007F0839">
              <w:rPr>
                <w:highlight w:val="green"/>
              </w:rPr>
              <w:t>Hypercalciurie</w:t>
            </w:r>
          </w:p>
          <w:p w:rsidR="001D72DE" w:rsidRPr="003D5761" w:rsidRDefault="001D72DE" w:rsidP="00AC08F6">
            <w:r w:rsidRPr="00926157">
              <w:rPr>
                <w:highlight w:val="green"/>
              </w:rPr>
              <w:t>Hyperglycémie</w:t>
            </w:r>
          </w:p>
          <w:p w:rsidR="001D72DE" w:rsidRPr="003D5761" w:rsidRDefault="001D72DE" w:rsidP="00AC08F6">
            <w:r w:rsidRPr="008730A3">
              <w:rPr>
                <w:highlight w:val="green"/>
              </w:rPr>
              <w:t>Hyperuricémie</w:t>
            </w:r>
          </w:p>
        </w:tc>
        <w:tc>
          <w:tcPr>
            <w:tcW w:w="4584" w:type="dxa"/>
          </w:tcPr>
          <w:p w:rsidR="001D72DE" w:rsidRPr="003D5761" w:rsidRDefault="001D72DE" w:rsidP="00AC08F6">
            <w:r w:rsidRPr="003D5761">
              <w:t>Déshydratation extracellulaire</w:t>
            </w:r>
          </w:p>
          <w:p w:rsidR="001D72DE" w:rsidRPr="003D5761" w:rsidRDefault="001D72DE" w:rsidP="00AC08F6">
            <w:r w:rsidRPr="003D5761">
              <w:t>Hypotension orthostatique</w:t>
            </w:r>
          </w:p>
          <w:p w:rsidR="001D72DE" w:rsidRPr="007F0839" w:rsidRDefault="001D72DE" w:rsidP="00AC08F6">
            <w:pPr>
              <w:rPr>
                <w:highlight w:val="yellow"/>
              </w:rPr>
            </w:pPr>
            <w:r w:rsidRPr="007F0839">
              <w:rPr>
                <w:highlight w:val="yellow"/>
              </w:rPr>
              <w:t>Alcalose métabolique</w:t>
            </w:r>
          </w:p>
          <w:p w:rsidR="002475E4" w:rsidRDefault="001D72DE" w:rsidP="003742FA">
            <w:r w:rsidRPr="007F0839">
              <w:rPr>
                <w:highlight w:val="yellow"/>
              </w:rPr>
              <w:t>Hyponatrémie</w:t>
            </w:r>
            <w:r w:rsidR="003742FA" w:rsidRPr="007F0839">
              <w:rPr>
                <w:highlight w:val="yellow"/>
              </w:rPr>
              <w:t xml:space="preserve"> – </w:t>
            </w:r>
            <w:r w:rsidRPr="007F0839">
              <w:rPr>
                <w:highlight w:val="yellow"/>
              </w:rPr>
              <w:t>Hypokaliémie</w:t>
            </w:r>
          </w:p>
          <w:p w:rsidR="001D72DE" w:rsidRPr="003D5761" w:rsidRDefault="001D72DE" w:rsidP="003742FA">
            <w:r w:rsidRPr="007F0839">
              <w:rPr>
                <w:highlight w:val="yellow"/>
              </w:rPr>
              <w:t>Hypochlorémie</w:t>
            </w:r>
          </w:p>
          <w:p w:rsidR="001D72DE" w:rsidRPr="003D5761" w:rsidRDefault="001D72DE" w:rsidP="00AC08F6">
            <w:r w:rsidRPr="003D5761">
              <w:t>Hypomagnésémie</w:t>
            </w:r>
          </w:p>
          <w:p w:rsidR="001D72DE" w:rsidRPr="007F0839" w:rsidRDefault="001D72DE" w:rsidP="00AC08F6">
            <w:pPr>
              <w:rPr>
                <w:highlight w:val="yellow"/>
              </w:rPr>
            </w:pPr>
            <w:r w:rsidRPr="007F0839">
              <w:rPr>
                <w:highlight w:val="yellow"/>
              </w:rPr>
              <w:t>Hypercalcémie</w:t>
            </w:r>
          </w:p>
          <w:p w:rsidR="001D72DE" w:rsidRPr="007F0839" w:rsidRDefault="001D72DE" w:rsidP="00AC08F6">
            <w:pPr>
              <w:rPr>
                <w:highlight w:val="yellow"/>
              </w:rPr>
            </w:pPr>
            <w:r w:rsidRPr="007F0839">
              <w:rPr>
                <w:highlight w:val="yellow"/>
              </w:rPr>
              <w:t>Hyperglycémie</w:t>
            </w:r>
          </w:p>
          <w:p w:rsidR="001D72DE" w:rsidRPr="007F0839" w:rsidRDefault="001D72DE" w:rsidP="00AC08F6">
            <w:pPr>
              <w:rPr>
                <w:highlight w:val="yellow"/>
              </w:rPr>
            </w:pPr>
            <w:r w:rsidRPr="007F0839">
              <w:rPr>
                <w:highlight w:val="yellow"/>
              </w:rPr>
              <w:t>Hyperuricémie</w:t>
            </w:r>
          </w:p>
          <w:p w:rsidR="001D72DE" w:rsidRPr="003D5761" w:rsidRDefault="001D72DE" w:rsidP="00AC08F6">
            <w:pPr>
              <w:spacing w:line="276" w:lineRule="auto"/>
            </w:pPr>
            <w:r w:rsidRPr="007F0839">
              <w:rPr>
                <w:highlight w:val="yellow"/>
              </w:rPr>
              <w:sym w:font="Wingdings 3" w:char="F06B"/>
            </w:r>
            <w:r w:rsidRPr="007F0839">
              <w:rPr>
                <w:highlight w:val="yellow"/>
              </w:rPr>
              <w:t xml:space="preserve"> Triglycérides, </w:t>
            </w:r>
            <w:r w:rsidRPr="007F0839">
              <w:rPr>
                <w:highlight w:val="yellow"/>
              </w:rPr>
              <w:sym w:font="Wingdings 3" w:char="F06B"/>
            </w:r>
            <w:r w:rsidRPr="007F0839">
              <w:rPr>
                <w:highlight w:val="yellow"/>
              </w:rPr>
              <w:t xml:space="preserve"> Cholestérol</w:t>
            </w:r>
            <w:r w:rsidRPr="003D5761">
              <w:t xml:space="preserve"> </w:t>
            </w:r>
          </w:p>
        </w:tc>
        <w:tc>
          <w:tcPr>
            <w:tcW w:w="4585" w:type="dxa"/>
          </w:tcPr>
          <w:p w:rsidR="001D72DE" w:rsidRPr="003D5761" w:rsidRDefault="001D72DE" w:rsidP="00AC08F6">
            <w:r w:rsidRPr="003D5761">
              <w:t>Déshydratation extracellulaire</w:t>
            </w:r>
          </w:p>
          <w:p w:rsidR="001D72DE" w:rsidRPr="003D5761" w:rsidRDefault="001D72DE" w:rsidP="00AC08F6">
            <w:r w:rsidRPr="003D5761">
              <w:t>Hypotension orthostatique</w:t>
            </w:r>
          </w:p>
          <w:p w:rsidR="001D72DE" w:rsidRPr="003D5761" w:rsidRDefault="001D72DE" w:rsidP="00AC08F6">
            <w:r w:rsidRPr="007F0839">
              <w:rPr>
                <w:highlight w:val="cyan"/>
              </w:rPr>
              <w:t>Acidose métabolique</w:t>
            </w:r>
          </w:p>
          <w:p w:rsidR="001D72DE" w:rsidRPr="003D5761" w:rsidRDefault="001D72DE" w:rsidP="00AC08F6">
            <w:r w:rsidRPr="007F0839">
              <w:rPr>
                <w:highlight w:val="cyan"/>
              </w:rPr>
              <w:t>Hyponatrémie</w:t>
            </w:r>
          </w:p>
          <w:p w:rsidR="001D72DE" w:rsidRPr="003D5761" w:rsidRDefault="001D72DE" w:rsidP="00AC08F6">
            <w:r w:rsidRPr="007A5F4C">
              <w:rPr>
                <w:highlight w:val="cyan"/>
              </w:rPr>
              <w:t>Hyperkaliémie</w:t>
            </w:r>
          </w:p>
          <w:p w:rsidR="001D72DE" w:rsidRPr="003D5761" w:rsidRDefault="001D72DE" w:rsidP="00AC08F6">
            <w:r w:rsidRPr="007F0839">
              <w:rPr>
                <w:highlight w:val="cyan"/>
              </w:rPr>
              <w:t>Hypercholrémie</w:t>
            </w:r>
          </w:p>
        </w:tc>
      </w:tr>
      <w:tr w:rsidR="00AC08F6" w:rsidTr="00AC08F6">
        <w:trPr>
          <w:trHeight w:val="502"/>
        </w:trPr>
        <w:tc>
          <w:tcPr>
            <w:tcW w:w="1951" w:type="dxa"/>
            <w:vMerge/>
            <w:vAlign w:val="center"/>
          </w:tcPr>
          <w:p w:rsidR="00F50AE6" w:rsidRPr="003D5761" w:rsidRDefault="00F50AE6" w:rsidP="00AC08F6">
            <w:pPr>
              <w:rPr>
                <w:b/>
                <w:bCs/>
              </w:rPr>
            </w:pPr>
          </w:p>
        </w:tc>
        <w:tc>
          <w:tcPr>
            <w:tcW w:w="4584" w:type="dxa"/>
          </w:tcPr>
          <w:p w:rsidR="00F50AE6" w:rsidRPr="003D5761" w:rsidRDefault="00F50AE6" w:rsidP="00AC08F6">
            <w:r w:rsidRPr="007F0839">
              <w:rPr>
                <w:highlight w:val="green"/>
              </w:rPr>
              <w:t>Ototoxicité</w:t>
            </w:r>
          </w:p>
        </w:tc>
        <w:tc>
          <w:tcPr>
            <w:tcW w:w="4584" w:type="dxa"/>
          </w:tcPr>
          <w:p w:rsidR="00F50AE6" w:rsidRPr="003D5761" w:rsidRDefault="007D00AC" w:rsidP="00AC08F6">
            <w:r w:rsidRPr="007F0839">
              <w:rPr>
                <w:highlight w:val="yellow"/>
              </w:rPr>
              <w:t>Pancréatite</w:t>
            </w:r>
            <w:r w:rsidR="00F50AE6" w:rsidRPr="007F0839">
              <w:rPr>
                <w:highlight w:val="yellow"/>
              </w:rPr>
              <w:t xml:space="preserve"> aiguë</w:t>
            </w:r>
          </w:p>
        </w:tc>
        <w:tc>
          <w:tcPr>
            <w:tcW w:w="4585" w:type="dxa"/>
          </w:tcPr>
          <w:p w:rsidR="00F50AE6" w:rsidRPr="003D5761" w:rsidRDefault="00F50AE6" w:rsidP="00AC08F6">
            <w:r w:rsidRPr="007F0839">
              <w:rPr>
                <w:highlight w:val="cyan"/>
              </w:rPr>
              <w:t>Gynécomastie</w:t>
            </w:r>
          </w:p>
          <w:p w:rsidR="00F50AE6" w:rsidRPr="003D5761" w:rsidRDefault="00F50AE6" w:rsidP="00AC08F6">
            <w:r w:rsidRPr="003D5761">
              <w:t>Troubles des règles</w:t>
            </w:r>
          </w:p>
        </w:tc>
      </w:tr>
      <w:tr w:rsidR="00AC08F6" w:rsidTr="00340787">
        <w:trPr>
          <w:trHeight w:val="1249"/>
        </w:trPr>
        <w:tc>
          <w:tcPr>
            <w:tcW w:w="1951" w:type="dxa"/>
            <w:vAlign w:val="center"/>
          </w:tcPr>
          <w:p w:rsidR="00EC5817" w:rsidRPr="003D5761" w:rsidRDefault="00F50AE6" w:rsidP="00AC08F6">
            <w:pPr>
              <w:rPr>
                <w:b/>
                <w:bCs/>
              </w:rPr>
            </w:pPr>
            <w:r w:rsidRPr="003D5761">
              <w:rPr>
                <w:b/>
                <w:bCs/>
              </w:rPr>
              <w:t>Indications</w:t>
            </w:r>
          </w:p>
        </w:tc>
        <w:tc>
          <w:tcPr>
            <w:tcW w:w="4584" w:type="dxa"/>
          </w:tcPr>
          <w:p w:rsidR="00EC5817" w:rsidRPr="003D5761" w:rsidRDefault="00EC5817" w:rsidP="00AC08F6">
            <w:r w:rsidRPr="003D5761">
              <w:t>HTA</w:t>
            </w:r>
          </w:p>
          <w:p w:rsidR="00EC5817" w:rsidRPr="003D5761" w:rsidRDefault="00EC5817" w:rsidP="00AC08F6">
            <w:r w:rsidRPr="003D5761">
              <w:t>Œdèmes</w:t>
            </w:r>
            <w:r w:rsidR="00A63D1A">
              <w:t xml:space="preserve"> – syndrome néphrotique</w:t>
            </w:r>
          </w:p>
          <w:p w:rsidR="00B73A15" w:rsidRPr="003D5761" w:rsidRDefault="00B73A15" w:rsidP="00AC08F6">
            <w:r w:rsidRPr="003D5761">
              <w:t>Insuffisance cardiaque</w:t>
            </w:r>
          </w:p>
          <w:p w:rsidR="00E77F17" w:rsidRPr="003D5761" w:rsidRDefault="00BE67C2" w:rsidP="00AC08F6">
            <w:r w:rsidRPr="003D5761">
              <w:t>OAP</w:t>
            </w:r>
          </w:p>
          <w:p w:rsidR="0078579E" w:rsidRPr="003D5761" w:rsidRDefault="00BE67C2" w:rsidP="00AC08F6">
            <w:r w:rsidRPr="003D5761">
              <w:t>Hypercalcémie</w:t>
            </w:r>
          </w:p>
        </w:tc>
        <w:tc>
          <w:tcPr>
            <w:tcW w:w="4584" w:type="dxa"/>
          </w:tcPr>
          <w:p w:rsidR="00EC5817" w:rsidRPr="003D5761" w:rsidRDefault="00EC5817" w:rsidP="00AC08F6">
            <w:r w:rsidRPr="003D5761">
              <w:t>HTA</w:t>
            </w:r>
          </w:p>
          <w:p w:rsidR="00EC5817" w:rsidRPr="003D5761" w:rsidRDefault="00EC5817" w:rsidP="00AC08F6">
            <w:r w:rsidRPr="003D5761">
              <w:t>Œdèmes</w:t>
            </w:r>
          </w:p>
          <w:p w:rsidR="00B73A15" w:rsidRPr="003D5761" w:rsidRDefault="00B73A15" w:rsidP="00AC08F6">
            <w:r w:rsidRPr="003D5761">
              <w:t>Insuffisance cardiaque</w:t>
            </w:r>
          </w:p>
          <w:p w:rsidR="00BE67C2" w:rsidRPr="003D5761" w:rsidRDefault="00AE080E" w:rsidP="00AC08F6">
            <w:r w:rsidRPr="003D5761">
              <w:t>Diabète insipide néphrogénique</w:t>
            </w:r>
          </w:p>
          <w:p w:rsidR="00AE080E" w:rsidRPr="003D5761" w:rsidRDefault="00AE080E" w:rsidP="00AC08F6">
            <w:r w:rsidRPr="003D5761">
              <w:t>Hypercalciurie</w:t>
            </w:r>
          </w:p>
        </w:tc>
        <w:tc>
          <w:tcPr>
            <w:tcW w:w="4585" w:type="dxa"/>
          </w:tcPr>
          <w:p w:rsidR="00EC5817" w:rsidRPr="003D5761" w:rsidRDefault="00EC5817" w:rsidP="00AC08F6">
            <w:r w:rsidRPr="003D5761">
              <w:t>HTA</w:t>
            </w:r>
          </w:p>
          <w:p w:rsidR="00EC5817" w:rsidRPr="003D5761" w:rsidRDefault="00EC5817" w:rsidP="00AC08F6">
            <w:r w:rsidRPr="003D5761">
              <w:t>Œdèmes</w:t>
            </w:r>
          </w:p>
          <w:p w:rsidR="00B73A15" w:rsidRPr="003D5761" w:rsidRDefault="00B73A15" w:rsidP="00AC08F6">
            <w:r w:rsidRPr="00613061">
              <w:rPr>
                <w:highlight w:val="cyan"/>
              </w:rPr>
              <w:t>Insuffisance cardiaque (anti-aldostérones)</w:t>
            </w:r>
          </w:p>
          <w:p w:rsidR="00AE080E" w:rsidRPr="003D5761" w:rsidRDefault="00AE080E" w:rsidP="00AC08F6">
            <w:r w:rsidRPr="007F0839">
              <w:rPr>
                <w:highlight w:val="cyan"/>
              </w:rPr>
              <w:t>Hyperaldostéronisme</w:t>
            </w:r>
          </w:p>
          <w:p w:rsidR="00AE080E" w:rsidRPr="003D5761" w:rsidRDefault="00255F8A" w:rsidP="00255F8A">
            <w:r>
              <w:t>Hypokaliémie</w:t>
            </w:r>
          </w:p>
        </w:tc>
      </w:tr>
      <w:tr w:rsidR="00340787" w:rsidTr="008270DF">
        <w:trPr>
          <w:trHeight w:val="1236"/>
        </w:trPr>
        <w:tc>
          <w:tcPr>
            <w:tcW w:w="1951" w:type="dxa"/>
            <w:vAlign w:val="center"/>
          </w:tcPr>
          <w:p w:rsidR="00340787" w:rsidRPr="003D5761" w:rsidRDefault="00340787" w:rsidP="00AC08F6">
            <w:pPr>
              <w:rPr>
                <w:b/>
                <w:bCs/>
              </w:rPr>
            </w:pPr>
            <w:r>
              <w:rPr>
                <w:b/>
                <w:bCs/>
              </w:rPr>
              <w:t>Contre-indications</w:t>
            </w:r>
          </w:p>
        </w:tc>
        <w:tc>
          <w:tcPr>
            <w:tcW w:w="4584" w:type="dxa"/>
          </w:tcPr>
          <w:p w:rsidR="00340787" w:rsidRDefault="00340787" w:rsidP="00AC08F6">
            <w:r>
              <w:t>Déshydratation</w:t>
            </w:r>
          </w:p>
          <w:p w:rsidR="00340787" w:rsidRDefault="00340787" w:rsidP="00AC08F6">
            <w:r>
              <w:t>Obstacle sur les voies urinaires</w:t>
            </w:r>
          </w:p>
          <w:p w:rsidR="00340787" w:rsidRDefault="00340787" w:rsidP="00AC08F6">
            <w:r>
              <w:t>Encéphalopathie hépatique</w:t>
            </w:r>
          </w:p>
          <w:p w:rsidR="00F96297" w:rsidRDefault="00F96297" w:rsidP="00AC08F6">
            <w:r>
              <w:t>Hyponatrémie</w:t>
            </w:r>
          </w:p>
          <w:p w:rsidR="00F96297" w:rsidRPr="003D5761" w:rsidRDefault="00F96297" w:rsidP="00AC08F6">
            <w:r w:rsidRPr="00613061">
              <w:rPr>
                <w:highlight w:val="green"/>
              </w:rPr>
              <w:t>Hypokaliémie</w:t>
            </w:r>
          </w:p>
        </w:tc>
        <w:tc>
          <w:tcPr>
            <w:tcW w:w="4584" w:type="dxa"/>
          </w:tcPr>
          <w:p w:rsidR="00912E81" w:rsidRDefault="00912E81" w:rsidP="00912E81">
            <w:r>
              <w:t>Déshydratation</w:t>
            </w:r>
          </w:p>
          <w:p w:rsidR="00912E81" w:rsidRDefault="00912E81" w:rsidP="00912E81">
            <w:r>
              <w:t>Obstacle sur les voies urinaires</w:t>
            </w:r>
          </w:p>
          <w:p w:rsidR="00340787" w:rsidRDefault="00912E81" w:rsidP="00912E81">
            <w:r>
              <w:t>Encéphalopathie hépatique</w:t>
            </w:r>
          </w:p>
          <w:p w:rsidR="00F96297" w:rsidRDefault="00F96297" w:rsidP="00F96297">
            <w:r>
              <w:t>Hyponatrémie</w:t>
            </w:r>
          </w:p>
          <w:p w:rsidR="00F96297" w:rsidRPr="003D5761" w:rsidRDefault="00F96297" w:rsidP="00F96297">
            <w:r w:rsidRPr="00613061">
              <w:rPr>
                <w:highlight w:val="yellow"/>
              </w:rPr>
              <w:t>Hypokaliémie</w:t>
            </w:r>
          </w:p>
        </w:tc>
        <w:tc>
          <w:tcPr>
            <w:tcW w:w="4585" w:type="dxa"/>
          </w:tcPr>
          <w:p w:rsidR="00912E81" w:rsidRDefault="00912E81" w:rsidP="00912E81">
            <w:r>
              <w:t>Déshydratation</w:t>
            </w:r>
          </w:p>
          <w:p w:rsidR="00912E81" w:rsidRDefault="00912E81" w:rsidP="00912E81">
            <w:r>
              <w:t>Obstacle sur les voies urinaires</w:t>
            </w:r>
          </w:p>
          <w:p w:rsidR="00340787" w:rsidRDefault="00912E81" w:rsidP="00912E81">
            <w:r>
              <w:t>Insuffisance hépatique sévère</w:t>
            </w:r>
          </w:p>
          <w:p w:rsidR="00F96297" w:rsidRDefault="00F96297" w:rsidP="00F96297">
            <w:r>
              <w:t>Hyponatrémie</w:t>
            </w:r>
          </w:p>
          <w:p w:rsidR="00F96297" w:rsidRPr="003D5761" w:rsidRDefault="00F96297" w:rsidP="00F96297">
            <w:r w:rsidRPr="007F0839">
              <w:rPr>
                <w:highlight w:val="cyan"/>
              </w:rPr>
              <w:t>Hyperkaliémie</w:t>
            </w:r>
          </w:p>
        </w:tc>
      </w:tr>
      <w:tr w:rsidR="008270DF" w:rsidTr="008270DF">
        <w:trPr>
          <w:trHeight w:val="93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8270DF" w:rsidRDefault="008270DF" w:rsidP="00AC08F6">
            <w:pPr>
              <w:rPr>
                <w:b/>
                <w:bCs/>
              </w:rPr>
            </w:pPr>
            <w:r>
              <w:rPr>
                <w:b/>
                <w:bCs/>
              </w:rPr>
              <w:t>Associations déconseillées</w:t>
            </w:r>
          </w:p>
        </w:tc>
        <w:tc>
          <w:tcPr>
            <w:tcW w:w="4584" w:type="dxa"/>
            <w:tcBorders>
              <w:bottom w:val="single" w:sz="4" w:space="0" w:color="auto"/>
            </w:tcBorders>
          </w:tcPr>
          <w:p w:rsidR="008270DF" w:rsidRDefault="008270DF" w:rsidP="00AC08F6">
            <w:r>
              <w:t>Lithium</w:t>
            </w:r>
          </w:p>
          <w:p w:rsidR="008270DF" w:rsidRDefault="008270DF" w:rsidP="00AC08F6">
            <w:r>
              <w:t>Médicament</w:t>
            </w:r>
            <w:r w:rsidR="00876128">
              <w:t>s</w:t>
            </w:r>
            <w:r>
              <w:t xml:space="preserve"> hypokaliémiants</w:t>
            </w:r>
          </w:p>
          <w:p w:rsidR="008270DF" w:rsidRDefault="008270DF" w:rsidP="00AC08F6">
            <w:r>
              <w:t>AINS</w:t>
            </w:r>
          </w:p>
          <w:p w:rsidR="008270DF" w:rsidRDefault="008270DF" w:rsidP="00AC08F6">
            <w:r>
              <w:t>Aminosides</w:t>
            </w:r>
          </w:p>
        </w:tc>
        <w:tc>
          <w:tcPr>
            <w:tcW w:w="4584" w:type="dxa"/>
            <w:tcBorders>
              <w:bottom w:val="single" w:sz="4" w:space="0" w:color="auto"/>
            </w:tcBorders>
          </w:tcPr>
          <w:p w:rsidR="008270DF" w:rsidRDefault="008270DF" w:rsidP="008270DF">
            <w:r>
              <w:t>Lithium</w:t>
            </w:r>
          </w:p>
          <w:p w:rsidR="008270DF" w:rsidRDefault="008270DF" w:rsidP="008270DF">
            <w:r>
              <w:t>Médicament</w:t>
            </w:r>
            <w:r w:rsidR="00876128">
              <w:t>s</w:t>
            </w:r>
            <w:r>
              <w:t xml:space="preserve"> hypokaliémiants</w:t>
            </w:r>
          </w:p>
          <w:p w:rsidR="008270DF" w:rsidRDefault="008270DF" w:rsidP="008270DF">
            <w:r>
              <w:t>AINS</w:t>
            </w:r>
          </w:p>
          <w:p w:rsidR="008270DF" w:rsidRDefault="008270DF" w:rsidP="00F96297"/>
        </w:tc>
        <w:tc>
          <w:tcPr>
            <w:tcW w:w="4585" w:type="dxa"/>
            <w:tcBorders>
              <w:bottom w:val="single" w:sz="4" w:space="0" w:color="auto"/>
            </w:tcBorders>
          </w:tcPr>
          <w:p w:rsidR="008270DF" w:rsidRDefault="008270DF" w:rsidP="008270DF">
            <w:r>
              <w:t>Lithium</w:t>
            </w:r>
          </w:p>
          <w:p w:rsidR="008270DF" w:rsidRDefault="008270DF" w:rsidP="00EC2DFD">
            <w:r>
              <w:t>Médicament</w:t>
            </w:r>
            <w:r w:rsidR="00876128">
              <w:t>s</w:t>
            </w:r>
            <w:r>
              <w:t xml:space="preserve"> hyp</w:t>
            </w:r>
            <w:r w:rsidR="00EC2DFD">
              <w:t>er</w:t>
            </w:r>
            <w:r>
              <w:t>kaliémiants</w:t>
            </w:r>
          </w:p>
          <w:p w:rsidR="008270DF" w:rsidRDefault="00EC2DFD" w:rsidP="008270DF">
            <w:r>
              <w:t>IEC</w:t>
            </w:r>
          </w:p>
          <w:p w:rsidR="008270DF" w:rsidRDefault="008270DF" w:rsidP="00F96297"/>
        </w:tc>
      </w:tr>
    </w:tbl>
    <w:p w:rsidR="00860065" w:rsidRPr="0026431D" w:rsidRDefault="00AC08F6" w:rsidP="00AC08F6">
      <w:pPr>
        <w:spacing w:after="0"/>
        <w:rPr>
          <w:b/>
          <w:bCs/>
          <w:sz w:val="24"/>
          <w:szCs w:val="24"/>
        </w:rPr>
      </w:pPr>
      <w:r w:rsidRPr="00784F73">
        <w:rPr>
          <w:b/>
          <w:bCs/>
          <w:sz w:val="24"/>
          <w:szCs w:val="24"/>
          <w:highlight w:val="green"/>
        </w:rPr>
        <w:t>En cas d’insuffisance rénale</w:t>
      </w:r>
      <w:r w:rsidR="00D12600" w:rsidRPr="00784F73">
        <w:rPr>
          <w:b/>
          <w:bCs/>
          <w:sz w:val="24"/>
          <w:szCs w:val="24"/>
          <w:highlight w:val="green"/>
        </w:rPr>
        <w:t xml:space="preserve"> (aiguë et chronique)</w:t>
      </w:r>
      <w:r w:rsidRPr="00784F73">
        <w:rPr>
          <w:b/>
          <w:bCs/>
          <w:sz w:val="24"/>
          <w:szCs w:val="24"/>
          <w:highlight w:val="green"/>
        </w:rPr>
        <w:t> : les diurétiques de l’anse sont les seuls diurétiques utilisés</w:t>
      </w:r>
      <w:r w:rsidR="00172A0B" w:rsidRPr="00784F73">
        <w:rPr>
          <w:b/>
          <w:bCs/>
          <w:sz w:val="24"/>
          <w:szCs w:val="24"/>
          <w:highlight w:val="green"/>
        </w:rPr>
        <w:t xml:space="preserve"> +++</w:t>
      </w:r>
    </w:p>
    <w:p w:rsidR="00CD31E7" w:rsidRPr="0026431D" w:rsidRDefault="00CD31E7" w:rsidP="00CD31E7">
      <w:pPr>
        <w:spacing w:after="0"/>
        <w:rPr>
          <w:sz w:val="24"/>
          <w:szCs w:val="24"/>
        </w:rPr>
      </w:pPr>
      <w:r w:rsidRPr="0026431D">
        <w:rPr>
          <w:b/>
          <w:bCs/>
          <w:sz w:val="24"/>
          <w:szCs w:val="24"/>
        </w:rPr>
        <w:t>Grossesse :</w:t>
      </w:r>
      <w:r w:rsidRPr="0026431D">
        <w:rPr>
          <w:sz w:val="24"/>
          <w:szCs w:val="24"/>
        </w:rPr>
        <w:t xml:space="preserve"> les diurétiques de l’anse sont les seuls diurétiques autorisés, dans une seule indication : insuffisance cardiaque congestive +++</w:t>
      </w:r>
    </w:p>
    <w:sectPr w:rsidR="00CD31E7" w:rsidRPr="0026431D" w:rsidSect="00EE6F34">
      <w:pgSz w:w="16838" w:h="11906" w:orient="landscape"/>
      <w:pgMar w:top="284" w:right="567" w:bottom="851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084F" w:rsidRDefault="0037084F" w:rsidP="00A86459">
      <w:pPr>
        <w:spacing w:after="0" w:line="240" w:lineRule="auto"/>
      </w:pPr>
      <w:r>
        <w:separator/>
      </w:r>
    </w:p>
  </w:endnote>
  <w:endnote w:type="continuationSeparator" w:id="1">
    <w:p w:rsidR="0037084F" w:rsidRDefault="0037084F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084F" w:rsidRDefault="0037084F" w:rsidP="00A86459">
      <w:pPr>
        <w:spacing w:after="0" w:line="240" w:lineRule="auto"/>
      </w:pPr>
      <w:r>
        <w:separator/>
      </w:r>
    </w:p>
  </w:footnote>
  <w:footnote w:type="continuationSeparator" w:id="1">
    <w:p w:rsidR="0037084F" w:rsidRDefault="0037084F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8119C0"/>
    <w:multiLevelType w:val="hybridMultilevel"/>
    <w:tmpl w:val="DC36C478"/>
    <w:lvl w:ilvl="0" w:tplc="47C0FB5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">
    <w:nsid w:val="438462C1"/>
    <w:multiLevelType w:val="hybridMultilevel"/>
    <w:tmpl w:val="1A7A25CA"/>
    <w:lvl w:ilvl="0" w:tplc="3D847E94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5F144BF0"/>
    <w:multiLevelType w:val="hybridMultilevel"/>
    <w:tmpl w:val="23E0C7F2"/>
    <w:lvl w:ilvl="0" w:tplc="85AA488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78C4"/>
    <w:rsid w:val="0000110F"/>
    <w:rsid w:val="00001353"/>
    <w:rsid w:val="00001729"/>
    <w:rsid w:val="000026FF"/>
    <w:rsid w:val="00002CA1"/>
    <w:rsid w:val="000030D3"/>
    <w:rsid w:val="00004ECF"/>
    <w:rsid w:val="000054E3"/>
    <w:rsid w:val="00010758"/>
    <w:rsid w:val="0001285E"/>
    <w:rsid w:val="0001362A"/>
    <w:rsid w:val="00014656"/>
    <w:rsid w:val="00020B43"/>
    <w:rsid w:val="000223ED"/>
    <w:rsid w:val="00022A28"/>
    <w:rsid w:val="00023BFD"/>
    <w:rsid w:val="000255A6"/>
    <w:rsid w:val="00026624"/>
    <w:rsid w:val="00030128"/>
    <w:rsid w:val="00032503"/>
    <w:rsid w:val="00034E92"/>
    <w:rsid w:val="00044BC4"/>
    <w:rsid w:val="00047C2E"/>
    <w:rsid w:val="00047C8F"/>
    <w:rsid w:val="00050CA3"/>
    <w:rsid w:val="000522C8"/>
    <w:rsid w:val="00053E05"/>
    <w:rsid w:val="00053E62"/>
    <w:rsid w:val="000562BC"/>
    <w:rsid w:val="00056607"/>
    <w:rsid w:val="000569BE"/>
    <w:rsid w:val="0006122F"/>
    <w:rsid w:val="00061BF4"/>
    <w:rsid w:val="000622B4"/>
    <w:rsid w:val="0006340D"/>
    <w:rsid w:val="00070856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23CC"/>
    <w:rsid w:val="00083AF2"/>
    <w:rsid w:val="00084394"/>
    <w:rsid w:val="0008467F"/>
    <w:rsid w:val="00084AFB"/>
    <w:rsid w:val="00084E12"/>
    <w:rsid w:val="000909C7"/>
    <w:rsid w:val="00090C21"/>
    <w:rsid w:val="000912D4"/>
    <w:rsid w:val="00091FE9"/>
    <w:rsid w:val="00092CFA"/>
    <w:rsid w:val="00093EAE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1F89"/>
    <w:rsid w:val="000B405D"/>
    <w:rsid w:val="000B76AD"/>
    <w:rsid w:val="000C038F"/>
    <w:rsid w:val="000C1231"/>
    <w:rsid w:val="000C29ED"/>
    <w:rsid w:val="000C2BC2"/>
    <w:rsid w:val="000C3F6A"/>
    <w:rsid w:val="000C6562"/>
    <w:rsid w:val="000C70E7"/>
    <w:rsid w:val="000D04D1"/>
    <w:rsid w:val="000D3DEE"/>
    <w:rsid w:val="000D6926"/>
    <w:rsid w:val="000D7C84"/>
    <w:rsid w:val="000E455C"/>
    <w:rsid w:val="000E49E2"/>
    <w:rsid w:val="000E6407"/>
    <w:rsid w:val="000E7C3C"/>
    <w:rsid w:val="000F1F11"/>
    <w:rsid w:val="000F4D3C"/>
    <w:rsid w:val="000F6160"/>
    <w:rsid w:val="000F7E85"/>
    <w:rsid w:val="001023AC"/>
    <w:rsid w:val="0010290E"/>
    <w:rsid w:val="001030C3"/>
    <w:rsid w:val="001123B3"/>
    <w:rsid w:val="001135FA"/>
    <w:rsid w:val="00114573"/>
    <w:rsid w:val="001168ED"/>
    <w:rsid w:val="001249F2"/>
    <w:rsid w:val="00130552"/>
    <w:rsid w:val="00130B13"/>
    <w:rsid w:val="001354B5"/>
    <w:rsid w:val="00135929"/>
    <w:rsid w:val="00135C50"/>
    <w:rsid w:val="00136D0A"/>
    <w:rsid w:val="00141696"/>
    <w:rsid w:val="00150596"/>
    <w:rsid w:val="00152EE6"/>
    <w:rsid w:val="0016020A"/>
    <w:rsid w:val="00161CEF"/>
    <w:rsid w:val="00163CC3"/>
    <w:rsid w:val="00163F37"/>
    <w:rsid w:val="001644F0"/>
    <w:rsid w:val="0016462B"/>
    <w:rsid w:val="00165277"/>
    <w:rsid w:val="001664CB"/>
    <w:rsid w:val="00172A0B"/>
    <w:rsid w:val="0017789E"/>
    <w:rsid w:val="00180937"/>
    <w:rsid w:val="00180AA0"/>
    <w:rsid w:val="00180C89"/>
    <w:rsid w:val="00180D12"/>
    <w:rsid w:val="00181A92"/>
    <w:rsid w:val="00186085"/>
    <w:rsid w:val="00186A13"/>
    <w:rsid w:val="00186FDB"/>
    <w:rsid w:val="00192298"/>
    <w:rsid w:val="00192B32"/>
    <w:rsid w:val="001930FB"/>
    <w:rsid w:val="0019785D"/>
    <w:rsid w:val="001B27E5"/>
    <w:rsid w:val="001B2EF2"/>
    <w:rsid w:val="001B604C"/>
    <w:rsid w:val="001B78AD"/>
    <w:rsid w:val="001C105A"/>
    <w:rsid w:val="001C1B23"/>
    <w:rsid w:val="001C2E10"/>
    <w:rsid w:val="001C4015"/>
    <w:rsid w:val="001C6DB9"/>
    <w:rsid w:val="001D056A"/>
    <w:rsid w:val="001D298A"/>
    <w:rsid w:val="001D566E"/>
    <w:rsid w:val="001D5E76"/>
    <w:rsid w:val="001D72DE"/>
    <w:rsid w:val="001D7AA0"/>
    <w:rsid w:val="001E08AF"/>
    <w:rsid w:val="001E3701"/>
    <w:rsid w:val="001E37AC"/>
    <w:rsid w:val="001E4414"/>
    <w:rsid w:val="001F0252"/>
    <w:rsid w:val="001F161E"/>
    <w:rsid w:val="001F3BF3"/>
    <w:rsid w:val="001F58FA"/>
    <w:rsid w:val="001F5AAF"/>
    <w:rsid w:val="001F7A8A"/>
    <w:rsid w:val="0020047A"/>
    <w:rsid w:val="002010F5"/>
    <w:rsid w:val="00206A67"/>
    <w:rsid w:val="0021016E"/>
    <w:rsid w:val="002112B9"/>
    <w:rsid w:val="00212B57"/>
    <w:rsid w:val="002205A0"/>
    <w:rsid w:val="00222DF1"/>
    <w:rsid w:val="0022327F"/>
    <w:rsid w:val="0022458D"/>
    <w:rsid w:val="00227499"/>
    <w:rsid w:val="00233D48"/>
    <w:rsid w:val="00235E89"/>
    <w:rsid w:val="00241906"/>
    <w:rsid w:val="00241E74"/>
    <w:rsid w:val="002468B4"/>
    <w:rsid w:val="002475E4"/>
    <w:rsid w:val="002477C7"/>
    <w:rsid w:val="0025369D"/>
    <w:rsid w:val="00254C7E"/>
    <w:rsid w:val="00254D2A"/>
    <w:rsid w:val="00255E95"/>
    <w:rsid w:val="00255F8A"/>
    <w:rsid w:val="00257345"/>
    <w:rsid w:val="00260530"/>
    <w:rsid w:val="002613C2"/>
    <w:rsid w:val="0026283C"/>
    <w:rsid w:val="0026431D"/>
    <w:rsid w:val="00266A17"/>
    <w:rsid w:val="00267A18"/>
    <w:rsid w:val="00267BCA"/>
    <w:rsid w:val="00270E8D"/>
    <w:rsid w:val="002743A4"/>
    <w:rsid w:val="00274CC3"/>
    <w:rsid w:val="00275FD8"/>
    <w:rsid w:val="002763F1"/>
    <w:rsid w:val="00280864"/>
    <w:rsid w:val="00280E2C"/>
    <w:rsid w:val="00281330"/>
    <w:rsid w:val="00281A1E"/>
    <w:rsid w:val="00286A48"/>
    <w:rsid w:val="00287676"/>
    <w:rsid w:val="00287D64"/>
    <w:rsid w:val="00290844"/>
    <w:rsid w:val="002925D1"/>
    <w:rsid w:val="0029631A"/>
    <w:rsid w:val="002A0064"/>
    <w:rsid w:val="002A1A7A"/>
    <w:rsid w:val="002A325A"/>
    <w:rsid w:val="002A34D9"/>
    <w:rsid w:val="002A6332"/>
    <w:rsid w:val="002B0E11"/>
    <w:rsid w:val="002B1A62"/>
    <w:rsid w:val="002B2555"/>
    <w:rsid w:val="002B3968"/>
    <w:rsid w:val="002B5490"/>
    <w:rsid w:val="002C01D0"/>
    <w:rsid w:val="002C11A9"/>
    <w:rsid w:val="002C32A0"/>
    <w:rsid w:val="002C3FB6"/>
    <w:rsid w:val="002C443D"/>
    <w:rsid w:val="002C71C8"/>
    <w:rsid w:val="002D4ABF"/>
    <w:rsid w:val="002D6182"/>
    <w:rsid w:val="002E2FB0"/>
    <w:rsid w:val="002E3D2A"/>
    <w:rsid w:val="002E3D9E"/>
    <w:rsid w:val="002E533F"/>
    <w:rsid w:val="002E5D62"/>
    <w:rsid w:val="002F0DD9"/>
    <w:rsid w:val="002F1B8E"/>
    <w:rsid w:val="002F23CA"/>
    <w:rsid w:val="002F26F2"/>
    <w:rsid w:val="002F3BC7"/>
    <w:rsid w:val="002F47B9"/>
    <w:rsid w:val="002F494F"/>
    <w:rsid w:val="002F690F"/>
    <w:rsid w:val="00300363"/>
    <w:rsid w:val="00300E21"/>
    <w:rsid w:val="0030170C"/>
    <w:rsid w:val="00301BE7"/>
    <w:rsid w:val="00302549"/>
    <w:rsid w:val="00311927"/>
    <w:rsid w:val="0031260B"/>
    <w:rsid w:val="00313F56"/>
    <w:rsid w:val="003164CE"/>
    <w:rsid w:val="003207E8"/>
    <w:rsid w:val="00321284"/>
    <w:rsid w:val="00324FAD"/>
    <w:rsid w:val="00330197"/>
    <w:rsid w:val="00330CCA"/>
    <w:rsid w:val="00331D02"/>
    <w:rsid w:val="003324DD"/>
    <w:rsid w:val="00332963"/>
    <w:rsid w:val="00333EEA"/>
    <w:rsid w:val="00334EBA"/>
    <w:rsid w:val="00340787"/>
    <w:rsid w:val="0034106A"/>
    <w:rsid w:val="003413BA"/>
    <w:rsid w:val="003470AF"/>
    <w:rsid w:val="00351464"/>
    <w:rsid w:val="003514C1"/>
    <w:rsid w:val="0035217E"/>
    <w:rsid w:val="00354426"/>
    <w:rsid w:val="0035694A"/>
    <w:rsid w:val="003572C5"/>
    <w:rsid w:val="00357537"/>
    <w:rsid w:val="0036032D"/>
    <w:rsid w:val="00360AF3"/>
    <w:rsid w:val="00362297"/>
    <w:rsid w:val="0036550B"/>
    <w:rsid w:val="0037084F"/>
    <w:rsid w:val="003715F3"/>
    <w:rsid w:val="0037255C"/>
    <w:rsid w:val="003742FA"/>
    <w:rsid w:val="00375986"/>
    <w:rsid w:val="003760E6"/>
    <w:rsid w:val="00376FA1"/>
    <w:rsid w:val="00381075"/>
    <w:rsid w:val="003811CB"/>
    <w:rsid w:val="00385F43"/>
    <w:rsid w:val="003866DD"/>
    <w:rsid w:val="00386BAA"/>
    <w:rsid w:val="003877E4"/>
    <w:rsid w:val="00392255"/>
    <w:rsid w:val="003951C5"/>
    <w:rsid w:val="0039662E"/>
    <w:rsid w:val="00397862"/>
    <w:rsid w:val="003A28D9"/>
    <w:rsid w:val="003A3A6C"/>
    <w:rsid w:val="003A5719"/>
    <w:rsid w:val="003B1B4D"/>
    <w:rsid w:val="003B539A"/>
    <w:rsid w:val="003B5CC4"/>
    <w:rsid w:val="003B787C"/>
    <w:rsid w:val="003C0183"/>
    <w:rsid w:val="003C1418"/>
    <w:rsid w:val="003C2C0F"/>
    <w:rsid w:val="003C2C10"/>
    <w:rsid w:val="003C403F"/>
    <w:rsid w:val="003C46E5"/>
    <w:rsid w:val="003C672C"/>
    <w:rsid w:val="003C67B2"/>
    <w:rsid w:val="003C73C4"/>
    <w:rsid w:val="003D0414"/>
    <w:rsid w:val="003D2C59"/>
    <w:rsid w:val="003D5761"/>
    <w:rsid w:val="003E304A"/>
    <w:rsid w:val="003E39C8"/>
    <w:rsid w:val="003E3FBB"/>
    <w:rsid w:val="003E524F"/>
    <w:rsid w:val="003E6290"/>
    <w:rsid w:val="003E7609"/>
    <w:rsid w:val="003E7921"/>
    <w:rsid w:val="003E7CB6"/>
    <w:rsid w:val="003F0DA5"/>
    <w:rsid w:val="003F48F9"/>
    <w:rsid w:val="003F4ADF"/>
    <w:rsid w:val="003F5702"/>
    <w:rsid w:val="003F57FA"/>
    <w:rsid w:val="003F678A"/>
    <w:rsid w:val="003F6A19"/>
    <w:rsid w:val="003F74D4"/>
    <w:rsid w:val="00405E29"/>
    <w:rsid w:val="00405F91"/>
    <w:rsid w:val="00411919"/>
    <w:rsid w:val="00411A52"/>
    <w:rsid w:val="00411BF2"/>
    <w:rsid w:val="00411DA1"/>
    <w:rsid w:val="00412FBA"/>
    <w:rsid w:val="00413500"/>
    <w:rsid w:val="00413840"/>
    <w:rsid w:val="00415BCA"/>
    <w:rsid w:val="0042025E"/>
    <w:rsid w:val="0042324A"/>
    <w:rsid w:val="00423ED8"/>
    <w:rsid w:val="004318D1"/>
    <w:rsid w:val="00432172"/>
    <w:rsid w:val="004327D6"/>
    <w:rsid w:val="00433123"/>
    <w:rsid w:val="004360B4"/>
    <w:rsid w:val="0044236D"/>
    <w:rsid w:val="004430BF"/>
    <w:rsid w:val="0044625A"/>
    <w:rsid w:val="0044678C"/>
    <w:rsid w:val="00446E65"/>
    <w:rsid w:val="0044779E"/>
    <w:rsid w:val="00447FB6"/>
    <w:rsid w:val="00450436"/>
    <w:rsid w:val="004505A7"/>
    <w:rsid w:val="00453DE7"/>
    <w:rsid w:val="004553B2"/>
    <w:rsid w:val="004554C4"/>
    <w:rsid w:val="004556CA"/>
    <w:rsid w:val="004563E7"/>
    <w:rsid w:val="00456EAE"/>
    <w:rsid w:val="00460E7F"/>
    <w:rsid w:val="00461528"/>
    <w:rsid w:val="00461DEB"/>
    <w:rsid w:val="00471C9F"/>
    <w:rsid w:val="004756F9"/>
    <w:rsid w:val="00476279"/>
    <w:rsid w:val="00477976"/>
    <w:rsid w:val="004803C6"/>
    <w:rsid w:val="004824DB"/>
    <w:rsid w:val="004846C3"/>
    <w:rsid w:val="00485141"/>
    <w:rsid w:val="00491A6A"/>
    <w:rsid w:val="00493520"/>
    <w:rsid w:val="004A1870"/>
    <w:rsid w:val="004A1BCC"/>
    <w:rsid w:val="004A4264"/>
    <w:rsid w:val="004A7407"/>
    <w:rsid w:val="004A7969"/>
    <w:rsid w:val="004B00FF"/>
    <w:rsid w:val="004B1834"/>
    <w:rsid w:val="004B1A1C"/>
    <w:rsid w:val="004B2876"/>
    <w:rsid w:val="004B4AD0"/>
    <w:rsid w:val="004C37A0"/>
    <w:rsid w:val="004C4156"/>
    <w:rsid w:val="004C5FCD"/>
    <w:rsid w:val="004D192A"/>
    <w:rsid w:val="004D1A48"/>
    <w:rsid w:val="004D637E"/>
    <w:rsid w:val="004D721C"/>
    <w:rsid w:val="004E0ECB"/>
    <w:rsid w:val="004E585F"/>
    <w:rsid w:val="004F00AB"/>
    <w:rsid w:val="004F010A"/>
    <w:rsid w:val="004F28C2"/>
    <w:rsid w:val="004F367B"/>
    <w:rsid w:val="004F3D09"/>
    <w:rsid w:val="00502F9A"/>
    <w:rsid w:val="00503DEC"/>
    <w:rsid w:val="005044DA"/>
    <w:rsid w:val="005108FC"/>
    <w:rsid w:val="00512FA0"/>
    <w:rsid w:val="0051626F"/>
    <w:rsid w:val="005162AA"/>
    <w:rsid w:val="00517C7D"/>
    <w:rsid w:val="0052388F"/>
    <w:rsid w:val="0052516F"/>
    <w:rsid w:val="00525DCA"/>
    <w:rsid w:val="00525FE8"/>
    <w:rsid w:val="0052796F"/>
    <w:rsid w:val="00530792"/>
    <w:rsid w:val="005409E0"/>
    <w:rsid w:val="00541328"/>
    <w:rsid w:val="00542CCE"/>
    <w:rsid w:val="00545108"/>
    <w:rsid w:val="00545804"/>
    <w:rsid w:val="005460D5"/>
    <w:rsid w:val="0054755B"/>
    <w:rsid w:val="00551229"/>
    <w:rsid w:val="00551E2C"/>
    <w:rsid w:val="00553343"/>
    <w:rsid w:val="00553D15"/>
    <w:rsid w:val="00554051"/>
    <w:rsid w:val="00555907"/>
    <w:rsid w:val="00560553"/>
    <w:rsid w:val="0056097D"/>
    <w:rsid w:val="00563BCE"/>
    <w:rsid w:val="00566360"/>
    <w:rsid w:val="005702B6"/>
    <w:rsid w:val="00571655"/>
    <w:rsid w:val="005721C0"/>
    <w:rsid w:val="00572A4F"/>
    <w:rsid w:val="00577BD4"/>
    <w:rsid w:val="005839E6"/>
    <w:rsid w:val="00587881"/>
    <w:rsid w:val="00592E0D"/>
    <w:rsid w:val="00593AD4"/>
    <w:rsid w:val="00595293"/>
    <w:rsid w:val="00596083"/>
    <w:rsid w:val="005964BF"/>
    <w:rsid w:val="0059685F"/>
    <w:rsid w:val="005973D8"/>
    <w:rsid w:val="00597661"/>
    <w:rsid w:val="005A05F5"/>
    <w:rsid w:val="005A1A0F"/>
    <w:rsid w:val="005A2CEC"/>
    <w:rsid w:val="005A370D"/>
    <w:rsid w:val="005A6267"/>
    <w:rsid w:val="005A6D0E"/>
    <w:rsid w:val="005B02ED"/>
    <w:rsid w:val="005B0C7A"/>
    <w:rsid w:val="005B1603"/>
    <w:rsid w:val="005B426E"/>
    <w:rsid w:val="005B4604"/>
    <w:rsid w:val="005B55DA"/>
    <w:rsid w:val="005B788F"/>
    <w:rsid w:val="005C1395"/>
    <w:rsid w:val="005C1444"/>
    <w:rsid w:val="005C32D3"/>
    <w:rsid w:val="005C6672"/>
    <w:rsid w:val="005C7C00"/>
    <w:rsid w:val="005D290F"/>
    <w:rsid w:val="005D2BAF"/>
    <w:rsid w:val="005D384B"/>
    <w:rsid w:val="005D3E4E"/>
    <w:rsid w:val="005D41AF"/>
    <w:rsid w:val="005D74F1"/>
    <w:rsid w:val="005D773C"/>
    <w:rsid w:val="005E0B22"/>
    <w:rsid w:val="005E1B30"/>
    <w:rsid w:val="005E3D7C"/>
    <w:rsid w:val="005E5128"/>
    <w:rsid w:val="005E518C"/>
    <w:rsid w:val="005E51C4"/>
    <w:rsid w:val="005E701D"/>
    <w:rsid w:val="005E7A6F"/>
    <w:rsid w:val="005F0687"/>
    <w:rsid w:val="005F17F2"/>
    <w:rsid w:val="005F1F83"/>
    <w:rsid w:val="005F7FA9"/>
    <w:rsid w:val="0060279D"/>
    <w:rsid w:val="00604894"/>
    <w:rsid w:val="006109C6"/>
    <w:rsid w:val="00613061"/>
    <w:rsid w:val="00615325"/>
    <w:rsid w:val="006169CD"/>
    <w:rsid w:val="00616C5F"/>
    <w:rsid w:val="006176E7"/>
    <w:rsid w:val="00620A36"/>
    <w:rsid w:val="0062524E"/>
    <w:rsid w:val="00625418"/>
    <w:rsid w:val="0063406C"/>
    <w:rsid w:val="00637445"/>
    <w:rsid w:val="0063785A"/>
    <w:rsid w:val="006406CA"/>
    <w:rsid w:val="00640E14"/>
    <w:rsid w:val="00640F0F"/>
    <w:rsid w:val="0064424B"/>
    <w:rsid w:val="0064676B"/>
    <w:rsid w:val="00647053"/>
    <w:rsid w:val="00647A08"/>
    <w:rsid w:val="00650AB5"/>
    <w:rsid w:val="006545CC"/>
    <w:rsid w:val="006553BA"/>
    <w:rsid w:val="006554B1"/>
    <w:rsid w:val="006570F9"/>
    <w:rsid w:val="00657C8B"/>
    <w:rsid w:val="00660C1E"/>
    <w:rsid w:val="006617E4"/>
    <w:rsid w:val="00671239"/>
    <w:rsid w:val="00671BEA"/>
    <w:rsid w:val="006726A5"/>
    <w:rsid w:val="00673123"/>
    <w:rsid w:val="00676AB4"/>
    <w:rsid w:val="00677842"/>
    <w:rsid w:val="00677A7D"/>
    <w:rsid w:val="006810D5"/>
    <w:rsid w:val="00681BBC"/>
    <w:rsid w:val="00687904"/>
    <w:rsid w:val="00693FAD"/>
    <w:rsid w:val="00696078"/>
    <w:rsid w:val="00697EF8"/>
    <w:rsid w:val="006A03FC"/>
    <w:rsid w:val="006A6AE7"/>
    <w:rsid w:val="006A7AB1"/>
    <w:rsid w:val="006B16D1"/>
    <w:rsid w:val="006B1FA8"/>
    <w:rsid w:val="006B77F6"/>
    <w:rsid w:val="006B7DC8"/>
    <w:rsid w:val="006C1FEF"/>
    <w:rsid w:val="006C3137"/>
    <w:rsid w:val="006C46DC"/>
    <w:rsid w:val="006C516B"/>
    <w:rsid w:val="006C6209"/>
    <w:rsid w:val="006C7F77"/>
    <w:rsid w:val="006D0D32"/>
    <w:rsid w:val="006D3046"/>
    <w:rsid w:val="006D4BAA"/>
    <w:rsid w:val="006E3CFE"/>
    <w:rsid w:val="006E3FDA"/>
    <w:rsid w:val="006E4BB8"/>
    <w:rsid w:val="006E631A"/>
    <w:rsid w:val="006F300B"/>
    <w:rsid w:val="006F33CD"/>
    <w:rsid w:val="006F75D3"/>
    <w:rsid w:val="007025C3"/>
    <w:rsid w:val="007033F5"/>
    <w:rsid w:val="00705AD0"/>
    <w:rsid w:val="00706009"/>
    <w:rsid w:val="00707E43"/>
    <w:rsid w:val="00710634"/>
    <w:rsid w:val="00711782"/>
    <w:rsid w:val="007119EF"/>
    <w:rsid w:val="00713347"/>
    <w:rsid w:val="00713432"/>
    <w:rsid w:val="00717354"/>
    <w:rsid w:val="00717ABF"/>
    <w:rsid w:val="00733838"/>
    <w:rsid w:val="00733DEF"/>
    <w:rsid w:val="0073497A"/>
    <w:rsid w:val="00734DF6"/>
    <w:rsid w:val="00736EDF"/>
    <w:rsid w:val="00737955"/>
    <w:rsid w:val="00737D6C"/>
    <w:rsid w:val="0074198D"/>
    <w:rsid w:val="00743B75"/>
    <w:rsid w:val="007450E0"/>
    <w:rsid w:val="00757FF3"/>
    <w:rsid w:val="00763384"/>
    <w:rsid w:val="00764CAC"/>
    <w:rsid w:val="007657FF"/>
    <w:rsid w:val="00766A4E"/>
    <w:rsid w:val="00767F4E"/>
    <w:rsid w:val="0077084F"/>
    <w:rsid w:val="00770B91"/>
    <w:rsid w:val="0078399D"/>
    <w:rsid w:val="00784F73"/>
    <w:rsid w:val="0078579E"/>
    <w:rsid w:val="00785BC1"/>
    <w:rsid w:val="007902D3"/>
    <w:rsid w:val="00791CC5"/>
    <w:rsid w:val="007921EB"/>
    <w:rsid w:val="007923E9"/>
    <w:rsid w:val="00792772"/>
    <w:rsid w:val="00793318"/>
    <w:rsid w:val="00793A52"/>
    <w:rsid w:val="00793FE5"/>
    <w:rsid w:val="0079465A"/>
    <w:rsid w:val="00795B28"/>
    <w:rsid w:val="007A36E3"/>
    <w:rsid w:val="007A382E"/>
    <w:rsid w:val="007A5F4C"/>
    <w:rsid w:val="007B6144"/>
    <w:rsid w:val="007C0686"/>
    <w:rsid w:val="007C39EB"/>
    <w:rsid w:val="007C5ACB"/>
    <w:rsid w:val="007C60B5"/>
    <w:rsid w:val="007C7B03"/>
    <w:rsid w:val="007C7DF6"/>
    <w:rsid w:val="007D00AC"/>
    <w:rsid w:val="007D109F"/>
    <w:rsid w:val="007D42E5"/>
    <w:rsid w:val="007E16F2"/>
    <w:rsid w:val="007E2B23"/>
    <w:rsid w:val="007F0839"/>
    <w:rsid w:val="007F1D3B"/>
    <w:rsid w:val="007F1E2A"/>
    <w:rsid w:val="007F433A"/>
    <w:rsid w:val="00800EE4"/>
    <w:rsid w:val="00801FB2"/>
    <w:rsid w:val="00802D55"/>
    <w:rsid w:val="00806A2A"/>
    <w:rsid w:val="0081198B"/>
    <w:rsid w:val="00811DCA"/>
    <w:rsid w:val="00812393"/>
    <w:rsid w:val="00812620"/>
    <w:rsid w:val="00812E9F"/>
    <w:rsid w:val="0081611E"/>
    <w:rsid w:val="00817FD7"/>
    <w:rsid w:val="0082055B"/>
    <w:rsid w:val="0082280D"/>
    <w:rsid w:val="0082308F"/>
    <w:rsid w:val="00823661"/>
    <w:rsid w:val="008270DF"/>
    <w:rsid w:val="008277C7"/>
    <w:rsid w:val="00830379"/>
    <w:rsid w:val="0083087C"/>
    <w:rsid w:val="00830952"/>
    <w:rsid w:val="00831B7D"/>
    <w:rsid w:val="00833840"/>
    <w:rsid w:val="00833FB3"/>
    <w:rsid w:val="00835E12"/>
    <w:rsid w:val="008368E4"/>
    <w:rsid w:val="00836AB5"/>
    <w:rsid w:val="00837288"/>
    <w:rsid w:val="00842657"/>
    <w:rsid w:val="008438CB"/>
    <w:rsid w:val="00843C9B"/>
    <w:rsid w:val="00843F52"/>
    <w:rsid w:val="0084600B"/>
    <w:rsid w:val="00846D3E"/>
    <w:rsid w:val="0084758A"/>
    <w:rsid w:val="0085055B"/>
    <w:rsid w:val="008555B5"/>
    <w:rsid w:val="0085654F"/>
    <w:rsid w:val="00860065"/>
    <w:rsid w:val="008608BA"/>
    <w:rsid w:val="008636BB"/>
    <w:rsid w:val="008730A3"/>
    <w:rsid w:val="00873680"/>
    <w:rsid w:val="00873DF8"/>
    <w:rsid w:val="0087474B"/>
    <w:rsid w:val="00875586"/>
    <w:rsid w:val="00875AC2"/>
    <w:rsid w:val="00876128"/>
    <w:rsid w:val="008771CB"/>
    <w:rsid w:val="008808AB"/>
    <w:rsid w:val="00882487"/>
    <w:rsid w:val="00883A6D"/>
    <w:rsid w:val="008841AD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B0137"/>
    <w:rsid w:val="008B5A47"/>
    <w:rsid w:val="008B6313"/>
    <w:rsid w:val="008B6E1A"/>
    <w:rsid w:val="008B740E"/>
    <w:rsid w:val="008B7E44"/>
    <w:rsid w:val="008C06A8"/>
    <w:rsid w:val="008C3AD6"/>
    <w:rsid w:val="008C55F6"/>
    <w:rsid w:val="008C6B14"/>
    <w:rsid w:val="008D1D26"/>
    <w:rsid w:val="008D3C71"/>
    <w:rsid w:val="008D3D70"/>
    <w:rsid w:val="008D4C75"/>
    <w:rsid w:val="008D4F39"/>
    <w:rsid w:val="008D549E"/>
    <w:rsid w:val="008D5CBD"/>
    <w:rsid w:val="008D69C3"/>
    <w:rsid w:val="008E2418"/>
    <w:rsid w:val="008E26DA"/>
    <w:rsid w:val="008E43E9"/>
    <w:rsid w:val="008E6E71"/>
    <w:rsid w:val="008E70C2"/>
    <w:rsid w:val="008E73D2"/>
    <w:rsid w:val="008F1B37"/>
    <w:rsid w:val="008F37EC"/>
    <w:rsid w:val="008F7750"/>
    <w:rsid w:val="00900437"/>
    <w:rsid w:val="00900A5F"/>
    <w:rsid w:val="00902FAA"/>
    <w:rsid w:val="00903196"/>
    <w:rsid w:val="00903C8D"/>
    <w:rsid w:val="00907859"/>
    <w:rsid w:val="00907EE8"/>
    <w:rsid w:val="00910013"/>
    <w:rsid w:val="00910E8B"/>
    <w:rsid w:val="00912E81"/>
    <w:rsid w:val="0091712B"/>
    <w:rsid w:val="009172C2"/>
    <w:rsid w:val="009200FA"/>
    <w:rsid w:val="00926157"/>
    <w:rsid w:val="009305B7"/>
    <w:rsid w:val="00931293"/>
    <w:rsid w:val="009345B3"/>
    <w:rsid w:val="0093496C"/>
    <w:rsid w:val="00934FF5"/>
    <w:rsid w:val="009359C0"/>
    <w:rsid w:val="00935A65"/>
    <w:rsid w:val="00945554"/>
    <w:rsid w:val="009457D7"/>
    <w:rsid w:val="0094755C"/>
    <w:rsid w:val="009510E1"/>
    <w:rsid w:val="00951B65"/>
    <w:rsid w:val="009564F7"/>
    <w:rsid w:val="009577B1"/>
    <w:rsid w:val="0096224C"/>
    <w:rsid w:val="00965566"/>
    <w:rsid w:val="00970A6F"/>
    <w:rsid w:val="00972FAE"/>
    <w:rsid w:val="00973592"/>
    <w:rsid w:val="0097399E"/>
    <w:rsid w:val="00973BB1"/>
    <w:rsid w:val="009767D9"/>
    <w:rsid w:val="00976F9E"/>
    <w:rsid w:val="009810F4"/>
    <w:rsid w:val="00983573"/>
    <w:rsid w:val="00983894"/>
    <w:rsid w:val="009839C3"/>
    <w:rsid w:val="00986BFA"/>
    <w:rsid w:val="00991CDE"/>
    <w:rsid w:val="009943AB"/>
    <w:rsid w:val="00995870"/>
    <w:rsid w:val="00995B2E"/>
    <w:rsid w:val="0099764E"/>
    <w:rsid w:val="00997779"/>
    <w:rsid w:val="009A502A"/>
    <w:rsid w:val="009B1A76"/>
    <w:rsid w:val="009B270A"/>
    <w:rsid w:val="009B3880"/>
    <w:rsid w:val="009B6266"/>
    <w:rsid w:val="009C0E43"/>
    <w:rsid w:val="009C192A"/>
    <w:rsid w:val="009C2BB8"/>
    <w:rsid w:val="009C3950"/>
    <w:rsid w:val="009C5C99"/>
    <w:rsid w:val="009C7354"/>
    <w:rsid w:val="009C789A"/>
    <w:rsid w:val="009D0EF6"/>
    <w:rsid w:val="009D1341"/>
    <w:rsid w:val="009D40B1"/>
    <w:rsid w:val="009E0DAA"/>
    <w:rsid w:val="009E16D8"/>
    <w:rsid w:val="009E1A00"/>
    <w:rsid w:val="009E1F0F"/>
    <w:rsid w:val="009E2439"/>
    <w:rsid w:val="009F1121"/>
    <w:rsid w:val="009F1BF5"/>
    <w:rsid w:val="009F4601"/>
    <w:rsid w:val="009F4D0B"/>
    <w:rsid w:val="009F59F1"/>
    <w:rsid w:val="009F784B"/>
    <w:rsid w:val="009F7A5C"/>
    <w:rsid w:val="009F7ECC"/>
    <w:rsid w:val="00A00A00"/>
    <w:rsid w:val="00A02B74"/>
    <w:rsid w:val="00A04181"/>
    <w:rsid w:val="00A052C6"/>
    <w:rsid w:val="00A12EA4"/>
    <w:rsid w:val="00A15055"/>
    <w:rsid w:val="00A1625E"/>
    <w:rsid w:val="00A1744B"/>
    <w:rsid w:val="00A20DC4"/>
    <w:rsid w:val="00A21C97"/>
    <w:rsid w:val="00A22FCD"/>
    <w:rsid w:val="00A2645D"/>
    <w:rsid w:val="00A267EF"/>
    <w:rsid w:val="00A3168C"/>
    <w:rsid w:val="00A32C27"/>
    <w:rsid w:val="00A35ABF"/>
    <w:rsid w:val="00A35FE3"/>
    <w:rsid w:val="00A36ED7"/>
    <w:rsid w:val="00A376AF"/>
    <w:rsid w:val="00A45BEA"/>
    <w:rsid w:val="00A513F4"/>
    <w:rsid w:val="00A53F07"/>
    <w:rsid w:val="00A5462C"/>
    <w:rsid w:val="00A54C80"/>
    <w:rsid w:val="00A54FD5"/>
    <w:rsid w:val="00A56BF0"/>
    <w:rsid w:val="00A57065"/>
    <w:rsid w:val="00A57365"/>
    <w:rsid w:val="00A617E1"/>
    <w:rsid w:val="00A62344"/>
    <w:rsid w:val="00A63415"/>
    <w:rsid w:val="00A63D1A"/>
    <w:rsid w:val="00A64AF6"/>
    <w:rsid w:val="00A70DAB"/>
    <w:rsid w:val="00A71D06"/>
    <w:rsid w:val="00A72376"/>
    <w:rsid w:val="00A74568"/>
    <w:rsid w:val="00A76040"/>
    <w:rsid w:val="00A774F8"/>
    <w:rsid w:val="00A776B3"/>
    <w:rsid w:val="00A81FA2"/>
    <w:rsid w:val="00A85A5B"/>
    <w:rsid w:val="00A86459"/>
    <w:rsid w:val="00A87874"/>
    <w:rsid w:val="00A9504C"/>
    <w:rsid w:val="00A95E0A"/>
    <w:rsid w:val="00AA062F"/>
    <w:rsid w:val="00AA1A06"/>
    <w:rsid w:val="00AA1BDF"/>
    <w:rsid w:val="00AA2119"/>
    <w:rsid w:val="00AA3E0E"/>
    <w:rsid w:val="00AA51A4"/>
    <w:rsid w:val="00AA5CCB"/>
    <w:rsid w:val="00AA6FAC"/>
    <w:rsid w:val="00AA7620"/>
    <w:rsid w:val="00AA7773"/>
    <w:rsid w:val="00AA78C4"/>
    <w:rsid w:val="00AB1F94"/>
    <w:rsid w:val="00AC08F6"/>
    <w:rsid w:val="00AC4ADB"/>
    <w:rsid w:val="00AD43A9"/>
    <w:rsid w:val="00AD453E"/>
    <w:rsid w:val="00AD49C7"/>
    <w:rsid w:val="00AD5E0B"/>
    <w:rsid w:val="00AE080E"/>
    <w:rsid w:val="00AE2208"/>
    <w:rsid w:val="00AE2C07"/>
    <w:rsid w:val="00AE3D45"/>
    <w:rsid w:val="00AE460E"/>
    <w:rsid w:val="00AE5687"/>
    <w:rsid w:val="00AE6420"/>
    <w:rsid w:val="00AE689F"/>
    <w:rsid w:val="00AF40AC"/>
    <w:rsid w:val="00B00C07"/>
    <w:rsid w:val="00B11B60"/>
    <w:rsid w:val="00B123D4"/>
    <w:rsid w:val="00B12697"/>
    <w:rsid w:val="00B132A6"/>
    <w:rsid w:val="00B15F9B"/>
    <w:rsid w:val="00B17F37"/>
    <w:rsid w:val="00B17FEE"/>
    <w:rsid w:val="00B218B6"/>
    <w:rsid w:val="00B22237"/>
    <w:rsid w:val="00B245D6"/>
    <w:rsid w:val="00B26323"/>
    <w:rsid w:val="00B263E8"/>
    <w:rsid w:val="00B27E18"/>
    <w:rsid w:val="00B314EC"/>
    <w:rsid w:val="00B33232"/>
    <w:rsid w:val="00B379AD"/>
    <w:rsid w:val="00B42236"/>
    <w:rsid w:val="00B42871"/>
    <w:rsid w:val="00B43CFE"/>
    <w:rsid w:val="00B44724"/>
    <w:rsid w:val="00B53F01"/>
    <w:rsid w:val="00B53F08"/>
    <w:rsid w:val="00B557FA"/>
    <w:rsid w:val="00B55A38"/>
    <w:rsid w:val="00B607A3"/>
    <w:rsid w:val="00B61221"/>
    <w:rsid w:val="00B61C98"/>
    <w:rsid w:val="00B63D35"/>
    <w:rsid w:val="00B63F14"/>
    <w:rsid w:val="00B64A90"/>
    <w:rsid w:val="00B65009"/>
    <w:rsid w:val="00B70A32"/>
    <w:rsid w:val="00B71CE1"/>
    <w:rsid w:val="00B73A15"/>
    <w:rsid w:val="00B779F1"/>
    <w:rsid w:val="00B83FDE"/>
    <w:rsid w:val="00B84295"/>
    <w:rsid w:val="00B85797"/>
    <w:rsid w:val="00B862C3"/>
    <w:rsid w:val="00B873A6"/>
    <w:rsid w:val="00B87D98"/>
    <w:rsid w:val="00B90A99"/>
    <w:rsid w:val="00B912BE"/>
    <w:rsid w:val="00B912DF"/>
    <w:rsid w:val="00B91F42"/>
    <w:rsid w:val="00B93B74"/>
    <w:rsid w:val="00B972CB"/>
    <w:rsid w:val="00BA20F2"/>
    <w:rsid w:val="00BA2462"/>
    <w:rsid w:val="00BA2A3C"/>
    <w:rsid w:val="00BA5A21"/>
    <w:rsid w:val="00BA6D38"/>
    <w:rsid w:val="00BA7C23"/>
    <w:rsid w:val="00BB2604"/>
    <w:rsid w:val="00BB2D10"/>
    <w:rsid w:val="00BB579D"/>
    <w:rsid w:val="00BB5E6A"/>
    <w:rsid w:val="00BB6E62"/>
    <w:rsid w:val="00BB7F31"/>
    <w:rsid w:val="00BC2279"/>
    <w:rsid w:val="00BC73F8"/>
    <w:rsid w:val="00BD0600"/>
    <w:rsid w:val="00BD1023"/>
    <w:rsid w:val="00BD2D71"/>
    <w:rsid w:val="00BD5502"/>
    <w:rsid w:val="00BD5635"/>
    <w:rsid w:val="00BE06F5"/>
    <w:rsid w:val="00BE3493"/>
    <w:rsid w:val="00BE4D34"/>
    <w:rsid w:val="00BE60A8"/>
    <w:rsid w:val="00BE67C2"/>
    <w:rsid w:val="00BE6CC4"/>
    <w:rsid w:val="00BF05FF"/>
    <w:rsid w:val="00BF0674"/>
    <w:rsid w:val="00BF2E20"/>
    <w:rsid w:val="00BF5BE2"/>
    <w:rsid w:val="00BF7117"/>
    <w:rsid w:val="00BF799B"/>
    <w:rsid w:val="00C00E48"/>
    <w:rsid w:val="00C01019"/>
    <w:rsid w:val="00C014E1"/>
    <w:rsid w:val="00C0484F"/>
    <w:rsid w:val="00C14D72"/>
    <w:rsid w:val="00C152E3"/>
    <w:rsid w:val="00C15ECA"/>
    <w:rsid w:val="00C17FF9"/>
    <w:rsid w:val="00C20850"/>
    <w:rsid w:val="00C20C48"/>
    <w:rsid w:val="00C20F70"/>
    <w:rsid w:val="00C24D92"/>
    <w:rsid w:val="00C27A5D"/>
    <w:rsid w:val="00C27CEA"/>
    <w:rsid w:val="00C332EA"/>
    <w:rsid w:val="00C34141"/>
    <w:rsid w:val="00C37261"/>
    <w:rsid w:val="00C417B4"/>
    <w:rsid w:val="00C431B7"/>
    <w:rsid w:val="00C43635"/>
    <w:rsid w:val="00C45A13"/>
    <w:rsid w:val="00C45BB8"/>
    <w:rsid w:val="00C467CF"/>
    <w:rsid w:val="00C51633"/>
    <w:rsid w:val="00C51D16"/>
    <w:rsid w:val="00C528DC"/>
    <w:rsid w:val="00C546F8"/>
    <w:rsid w:val="00C54AAD"/>
    <w:rsid w:val="00C567AF"/>
    <w:rsid w:val="00C6026E"/>
    <w:rsid w:val="00C60F7A"/>
    <w:rsid w:val="00C61BC5"/>
    <w:rsid w:val="00C6438D"/>
    <w:rsid w:val="00C74A9F"/>
    <w:rsid w:val="00C82E65"/>
    <w:rsid w:val="00C84DCA"/>
    <w:rsid w:val="00C9023F"/>
    <w:rsid w:val="00C929E2"/>
    <w:rsid w:val="00C9350B"/>
    <w:rsid w:val="00CA0022"/>
    <w:rsid w:val="00CA02E0"/>
    <w:rsid w:val="00CA1AF4"/>
    <w:rsid w:val="00CA2989"/>
    <w:rsid w:val="00CA3854"/>
    <w:rsid w:val="00CA3D56"/>
    <w:rsid w:val="00CB0C93"/>
    <w:rsid w:val="00CB29F0"/>
    <w:rsid w:val="00CB2C40"/>
    <w:rsid w:val="00CB2F87"/>
    <w:rsid w:val="00CB6961"/>
    <w:rsid w:val="00CB7AE5"/>
    <w:rsid w:val="00CC0930"/>
    <w:rsid w:val="00CC1AD1"/>
    <w:rsid w:val="00CC3123"/>
    <w:rsid w:val="00CC49BE"/>
    <w:rsid w:val="00CC75A7"/>
    <w:rsid w:val="00CD027D"/>
    <w:rsid w:val="00CD31E7"/>
    <w:rsid w:val="00CD3AE2"/>
    <w:rsid w:val="00CD47DF"/>
    <w:rsid w:val="00CE2324"/>
    <w:rsid w:val="00CE2C1F"/>
    <w:rsid w:val="00CE6572"/>
    <w:rsid w:val="00CE6916"/>
    <w:rsid w:val="00CF1A26"/>
    <w:rsid w:val="00CF2AB1"/>
    <w:rsid w:val="00CF2F7D"/>
    <w:rsid w:val="00CF3D5C"/>
    <w:rsid w:val="00CF49A5"/>
    <w:rsid w:val="00CF5545"/>
    <w:rsid w:val="00CF7189"/>
    <w:rsid w:val="00D010A0"/>
    <w:rsid w:val="00D010F2"/>
    <w:rsid w:val="00D01CFF"/>
    <w:rsid w:val="00D04D9D"/>
    <w:rsid w:val="00D05983"/>
    <w:rsid w:val="00D06930"/>
    <w:rsid w:val="00D11AB0"/>
    <w:rsid w:val="00D12074"/>
    <w:rsid w:val="00D12600"/>
    <w:rsid w:val="00D13A4C"/>
    <w:rsid w:val="00D13B2A"/>
    <w:rsid w:val="00D13FA8"/>
    <w:rsid w:val="00D1400C"/>
    <w:rsid w:val="00D1570D"/>
    <w:rsid w:val="00D16015"/>
    <w:rsid w:val="00D1683B"/>
    <w:rsid w:val="00D21839"/>
    <w:rsid w:val="00D246BF"/>
    <w:rsid w:val="00D27B83"/>
    <w:rsid w:val="00D3197F"/>
    <w:rsid w:val="00D36CB6"/>
    <w:rsid w:val="00D36D37"/>
    <w:rsid w:val="00D40011"/>
    <w:rsid w:val="00D432CA"/>
    <w:rsid w:val="00D44328"/>
    <w:rsid w:val="00D46431"/>
    <w:rsid w:val="00D46548"/>
    <w:rsid w:val="00D474E8"/>
    <w:rsid w:val="00D47E31"/>
    <w:rsid w:val="00D47F53"/>
    <w:rsid w:val="00D52F08"/>
    <w:rsid w:val="00D53E8E"/>
    <w:rsid w:val="00D542D2"/>
    <w:rsid w:val="00D545F9"/>
    <w:rsid w:val="00D56F49"/>
    <w:rsid w:val="00D632D2"/>
    <w:rsid w:val="00D6425C"/>
    <w:rsid w:val="00D646C6"/>
    <w:rsid w:val="00D6637A"/>
    <w:rsid w:val="00D66D11"/>
    <w:rsid w:val="00D70F10"/>
    <w:rsid w:val="00D71FB3"/>
    <w:rsid w:val="00D740AF"/>
    <w:rsid w:val="00D80697"/>
    <w:rsid w:val="00D81E43"/>
    <w:rsid w:val="00D84D87"/>
    <w:rsid w:val="00D907E0"/>
    <w:rsid w:val="00D92A2D"/>
    <w:rsid w:val="00D94275"/>
    <w:rsid w:val="00D9495F"/>
    <w:rsid w:val="00D96F7B"/>
    <w:rsid w:val="00DA2DB8"/>
    <w:rsid w:val="00DA53E9"/>
    <w:rsid w:val="00DA54E6"/>
    <w:rsid w:val="00DA60C6"/>
    <w:rsid w:val="00DA71DC"/>
    <w:rsid w:val="00DB27F5"/>
    <w:rsid w:val="00DB3155"/>
    <w:rsid w:val="00DB3367"/>
    <w:rsid w:val="00DC0AFA"/>
    <w:rsid w:val="00DC0D36"/>
    <w:rsid w:val="00DC17EF"/>
    <w:rsid w:val="00DC265E"/>
    <w:rsid w:val="00DC3324"/>
    <w:rsid w:val="00DC3BD6"/>
    <w:rsid w:val="00DC46AC"/>
    <w:rsid w:val="00DC65A1"/>
    <w:rsid w:val="00DC6BE5"/>
    <w:rsid w:val="00DD00E5"/>
    <w:rsid w:val="00DD1BE9"/>
    <w:rsid w:val="00DD3E9E"/>
    <w:rsid w:val="00DD4FDC"/>
    <w:rsid w:val="00DE2C96"/>
    <w:rsid w:val="00DE3514"/>
    <w:rsid w:val="00DE42A2"/>
    <w:rsid w:val="00DE4C0F"/>
    <w:rsid w:val="00DE64ED"/>
    <w:rsid w:val="00DE73D9"/>
    <w:rsid w:val="00DF010A"/>
    <w:rsid w:val="00DF0F56"/>
    <w:rsid w:val="00DF37FB"/>
    <w:rsid w:val="00DF7512"/>
    <w:rsid w:val="00E007F6"/>
    <w:rsid w:val="00E020ED"/>
    <w:rsid w:val="00E02C60"/>
    <w:rsid w:val="00E04A63"/>
    <w:rsid w:val="00E07308"/>
    <w:rsid w:val="00E1023A"/>
    <w:rsid w:val="00E10C76"/>
    <w:rsid w:val="00E152AF"/>
    <w:rsid w:val="00E20752"/>
    <w:rsid w:val="00E2204E"/>
    <w:rsid w:val="00E22A5B"/>
    <w:rsid w:val="00E23569"/>
    <w:rsid w:val="00E2400B"/>
    <w:rsid w:val="00E242BE"/>
    <w:rsid w:val="00E24610"/>
    <w:rsid w:val="00E2532C"/>
    <w:rsid w:val="00E26049"/>
    <w:rsid w:val="00E26F2F"/>
    <w:rsid w:val="00E27061"/>
    <w:rsid w:val="00E27732"/>
    <w:rsid w:val="00E30CF2"/>
    <w:rsid w:val="00E30D20"/>
    <w:rsid w:val="00E323BA"/>
    <w:rsid w:val="00E34330"/>
    <w:rsid w:val="00E34B11"/>
    <w:rsid w:val="00E34D6F"/>
    <w:rsid w:val="00E37623"/>
    <w:rsid w:val="00E37B31"/>
    <w:rsid w:val="00E425AB"/>
    <w:rsid w:val="00E42B22"/>
    <w:rsid w:val="00E450F0"/>
    <w:rsid w:val="00E53669"/>
    <w:rsid w:val="00E56DD0"/>
    <w:rsid w:val="00E57F19"/>
    <w:rsid w:val="00E6153A"/>
    <w:rsid w:val="00E629D6"/>
    <w:rsid w:val="00E62C6A"/>
    <w:rsid w:val="00E66D35"/>
    <w:rsid w:val="00E67432"/>
    <w:rsid w:val="00E761B6"/>
    <w:rsid w:val="00E77D7F"/>
    <w:rsid w:val="00E77F17"/>
    <w:rsid w:val="00E8107F"/>
    <w:rsid w:val="00E81E1B"/>
    <w:rsid w:val="00E82523"/>
    <w:rsid w:val="00E82F58"/>
    <w:rsid w:val="00E86CC0"/>
    <w:rsid w:val="00E87281"/>
    <w:rsid w:val="00E918DE"/>
    <w:rsid w:val="00E928F3"/>
    <w:rsid w:val="00E9653F"/>
    <w:rsid w:val="00EA042A"/>
    <w:rsid w:val="00EA301A"/>
    <w:rsid w:val="00EA43E8"/>
    <w:rsid w:val="00EA59EA"/>
    <w:rsid w:val="00EB65D9"/>
    <w:rsid w:val="00EC20F1"/>
    <w:rsid w:val="00EC2DFD"/>
    <w:rsid w:val="00EC3389"/>
    <w:rsid w:val="00EC417E"/>
    <w:rsid w:val="00EC5817"/>
    <w:rsid w:val="00EC6389"/>
    <w:rsid w:val="00ED3DC0"/>
    <w:rsid w:val="00ED4211"/>
    <w:rsid w:val="00ED4AFA"/>
    <w:rsid w:val="00ED62E3"/>
    <w:rsid w:val="00EE26E0"/>
    <w:rsid w:val="00EE37A8"/>
    <w:rsid w:val="00EE39B2"/>
    <w:rsid w:val="00EE56C3"/>
    <w:rsid w:val="00EE6F34"/>
    <w:rsid w:val="00EF019C"/>
    <w:rsid w:val="00EF124E"/>
    <w:rsid w:val="00EF280A"/>
    <w:rsid w:val="00EF4508"/>
    <w:rsid w:val="00EF7F74"/>
    <w:rsid w:val="00F0318E"/>
    <w:rsid w:val="00F04655"/>
    <w:rsid w:val="00F059B7"/>
    <w:rsid w:val="00F1058A"/>
    <w:rsid w:val="00F11187"/>
    <w:rsid w:val="00F119BC"/>
    <w:rsid w:val="00F13CE5"/>
    <w:rsid w:val="00F13E7C"/>
    <w:rsid w:val="00F14204"/>
    <w:rsid w:val="00F150BB"/>
    <w:rsid w:val="00F23A89"/>
    <w:rsid w:val="00F26660"/>
    <w:rsid w:val="00F272E8"/>
    <w:rsid w:val="00F3174B"/>
    <w:rsid w:val="00F31C30"/>
    <w:rsid w:val="00F31DBC"/>
    <w:rsid w:val="00F32531"/>
    <w:rsid w:val="00F33E7F"/>
    <w:rsid w:val="00F37F0C"/>
    <w:rsid w:val="00F46284"/>
    <w:rsid w:val="00F47232"/>
    <w:rsid w:val="00F472A8"/>
    <w:rsid w:val="00F5029C"/>
    <w:rsid w:val="00F50A5A"/>
    <w:rsid w:val="00F50AE6"/>
    <w:rsid w:val="00F5160F"/>
    <w:rsid w:val="00F5398F"/>
    <w:rsid w:val="00F54881"/>
    <w:rsid w:val="00F55FE4"/>
    <w:rsid w:val="00F56C3B"/>
    <w:rsid w:val="00F61C56"/>
    <w:rsid w:val="00F6359A"/>
    <w:rsid w:val="00F63AC5"/>
    <w:rsid w:val="00F6774C"/>
    <w:rsid w:val="00F71A3A"/>
    <w:rsid w:val="00F723CC"/>
    <w:rsid w:val="00F7335A"/>
    <w:rsid w:val="00F75592"/>
    <w:rsid w:val="00F763FA"/>
    <w:rsid w:val="00F76A5A"/>
    <w:rsid w:val="00F77D16"/>
    <w:rsid w:val="00F8253B"/>
    <w:rsid w:val="00F8440A"/>
    <w:rsid w:val="00F84DC2"/>
    <w:rsid w:val="00F900CB"/>
    <w:rsid w:val="00F91B35"/>
    <w:rsid w:val="00F96297"/>
    <w:rsid w:val="00FA29A1"/>
    <w:rsid w:val="00FA50C5"/>
    <w:rsid w:val="00FB04C0"/>
    <w:rsid w:val="00FB0D8F"/>
    <w:rsid w:val="00FB295F"/>
    <w:rsid w:val="00FB2E9D"/>
    <w:rsid w:val="00FC2333"/>
    <w:rsid w:val="00FC2DC7"/>
    <w:rsid w:val="00FC59C1"/>
    <w:rsid w:val="00FC7740"/>
    <w:rsid w:val="00FD3721"/>
    <w:rsid w:val="00FD479B"/>
    <w:rsid w:val="00FD5C46"/>
    <w:rsid w:val="00FD6497"/>
    <w:rsid w:val="00FE0DF2"/>
    <w:rsid w:val="00FE2168"/>
    <w:rsid w:val="00FE31B7"/>
    <w:rsid w:val="00FE468B"/>
    <w:rsid w:val="00FF1358"/>
    <w:rsid w:val="00FF1D6D"/>
    <w:rsid w:val="00FF2DCD"/>
    <w:rsid w:val="00FF4F03"/>
    <w:rsid w:val="00FF6B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7E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5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85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13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0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70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29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4DD10-F1C5-415E-9628-8590DB6CA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3292</TotalTime>
  <Pages>2</Pages>
  <Words>440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268</cp:revision>
  <dcterms:created xsi:type="dcterms:W3CDTF">2014-05-02T20:48:00Z</dcterms:created>
  <dcterms:modified xsi:type="dcterms:W3CDTF">2016-04-19T09:47:00Z</dcterms:modified>
</cp:coreProperties>
</file>