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F1" w:rsidRPr="00731FCD" w:rsidRDefault="00B779F1" w:rsidP="00731FCD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731FCD">
        <w:rPr>
          <w:b/>
          <w:bCs/>
          <w:sz w:val="28"/>
          <w:szCs w:val="28"/>
          <w:u w:val="double"/>
        </w:rPr>
        <w:t>CLASSIFICATION :</w:t>
      </w:r>
    </w:p>
    <w:p w:rsidR="00B779F1" w:rsidRDefault="00B779F1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Vasodilatateur à prédominance artérielle :</w:t>
      </w:r>
    </w:p>
    <w:p w:rsidR="00B779F1" w:rsidRDefault="00B779F1" w:rsidP="00731FCD">
      <w:pPr>
        <w:spacing w:after="0" w:line="360" w:lineRule="auto"/>
      </w:pPr>
      <w:r>
        <w:t>Les inhibiteurs calciques</w:t>
      </w:r>
    </w:p>
    <w:p w:rsidR="00B779F1" w:rsidRDefault="00B779F1" w:rsidP="00731FCD">
      <w:pPr>
        <w:spacing w:after="0" w:line="360" w:lineRule="auto"/>
      </w:pPr>
      <w:r>
        <w:t>Les antihypertenseurs centraux</w:t>
      </w:r>
      <w:r w:rsidR="00BB6E62">
        <w:t> : Méthyl-dopa, Clonidine</w:t>
      </w:r>
    </w:p>
    <w:p w:rsidR="00B779F1" w:rsidRDefault="00B779F1" w:rsidP="00731FCD">
      <w:pPr>
        <w:spacing w:after="0" w:line="360" w:lineRule="auto"/>
      </w:pPr>
      <w:r>
        <w:t>Les alpha-bloquants</w:t>
      </w:r>
      <w:r w:rsidR="00BB6E62">
        <w:t> :</w:t>
      </w:r>
      <w:r w:rsidR="005D3E4E">
        <w:t>Prazos</w:t>
      </w:r>
      <w:r w:rsidR="00BB6E62">
        <w:t>ine</w:t>
      </w:r>
    </w:p>
    <w:p w:rsidR="00B779F1" w:rsidRPr="00B779F1" w:rsidRDefault="00B779F1" w:rsidP="00731FCD">
      <w:pPr>
        <w:spacing w:after="0" w:line="360" w:lineRule="auto"/>
      </w:pPr>
      <w:r>
        <w:t>Les vasodilatateurs directs</w:t>
      </w:r>
      <w:r w:rsidR="005D3E4E">
        <w:t> : Hydralazine</w:t>
      </w:r>
      <w:r w:rsidR="00D660ED">
        <w:t xml:space="preserve"> </w:t>
      </w:r>
      <w:r w:rsidR="00D660ED" w:rsidRPr="00C81059">
        <w:rPr>
          <w:rFonts w:ascii="Calibri" w:eastAsia="Calibri" w:hAnsi="Calibri" w:cs="Arial"/>
          <w:b/>
        </w:rPr>
        <w:t>(Népressol</w:t>
      </w:r>
      <w:r w:rsidR="00D660ED" w:rsidRPr="00C81059">
        <w:rPr>
          <w:b/>
        </w:rPr>
        <w:t>),</w:t>
      </w:r>
      <w:r w:rsidR="005D3E4E">
        <w:t xml:space="preserve"> Minoxidil</w:t>
      </w:r>
    </w:p>
    <w:p w:rsidR="00B779F1" w:rsidRDefault="00B779F1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Vasodilatateur à prédominance veineuse</w:t>
      </w:r>
      <w:r w:rsidR="00BC73F8">
        <w:rPr>
          <w:b/>
          <w:bCs/>
          <w:sz w:val="24"/>
          <w:szCs w:val="24"/>
          <w:u w:val="single"/>
        </w:rPr>
        <w:t> :</w:t>
      </w:r>
    </w:p>
    <w:p w:rsidR="00BC73F8" w:rsidRPr="00BC73F8" w:rsidRDefault="00BC73F8" w:rsidP="00731FCD">
      <w:pPr>
        <w:spacing w:after="0" w:line="360" w:lineRule="auto"/>
      </w:pPr>
      <w:r>
        <w:t>Les dérivés nitrés</w:t>
      </w:r>
      <w:r w:rsidR="00B176BA">
        <w:t> : Risordan , Trinitrine</w:t>
      </w:r>
    </w:p>
    <w:p w:rsidR="00B779F1" w:rsidRDefault="00B779F1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Vasodilatateurs mixte</w:t>
      </w:r>
      <w:r w:rsidR="00BC73F8">
        <w:rPr>
          <w:b/>
          <w:bCs/>
          <w:sz w:val="24"/>
          <w:szCs w:val="24"/>
          <w:u w:val="single"/>
        </w:rPr>
        <w:t> :</w:t>
      </w:r>
    </w:p>
    <w:p w:rsidR="00860065" w:rsidRPr="00BC73F8" w:rsidRDefault="00BC73F8" w:rsidP="00731FCD">
      <w:pPr>
        <w:spacing w:after="0" w:line="360" w:lineRule="auto"/>
      </w:pPr>
      <w:r>
        <w:t>Les IEC</w:t>
      </w:r>
      <w:r w:rsidR="00731FCD">
        <w:t xml:space="preserve"> et l</w:t>
      </w:r>
      <w:r>
        <w:t>es ARAII</w:t>
      </w:r>
    </w:p>
    <w:p w:rsidR="00E918DE" w:rsidRPr="00DC17EF" w:rsidRDefault="00DC17EF" w:rsidP="00731FCD">
      <w:pPr>
        <w:spacing w:line="360" w:lineRule="auto"/>
        <w:rPr>
          <w:b/>
          <w:bCs/>
          <w:sz w:val="28"/>
          <w:szCs w:val="28"/>
          <w:u w:val="single"/>
        </w:rPr>
      </w:pPr>
      <w:r w:rsidRPr="00DC17EF">
        <w:rPr>
          <w:b/>
          <w:bCs/>
          <w:sz w:val="28"/>
          <w:szCs w:val="28"/>
          <w:u w:val="single"/>
        </w:rPr>
        <w:t>LES INHIBITEURS CALCIQUES</w:t>
      </w:r>
      <w:r>
        <w:rPr>
          <w:b/>
          <w:bCs/>
          <w:sz w:val="28"/>
          <w:szCs w:val="28"/>
          <w:u w:val="single"/>
        </w:rPr>
        <w:t> :</w:t>
      </w:r>
    </w:p>
    <w:tbl>
      <w:tblPr>
        <w:tblStyle w:val="Grilledutableau"/>
        <w:tblW w:w="10422" w:type="dxa"/>
        <w:tblInd w:w="108" w:type="dxa"/>
        <w:tblLook w:val="04A0"/>
      </w:tblPr>
      <w:tblGrid>
        <w:gridCol w:w="2075"/>
        <w:gridCol w:w="2078"/>
        <w:gridCol w:w="2078"/>
        <w:gridCol w:w="2076"/>
        <w:gridCol w:w="2115"/>
      </w:tblGrid>
      <w:tr w:rsidR="006F300B" w:rsidTr="00DC17EF">
        <w:trPr>
          <w:trHeight w:val="136"/>
        </w:trPr>
        <w:tc>
          <w:tcPr>
            <w:tcW w:w="2075" w:type="dxa"/>
            <w:vMerge w:val="restart"/>
          </w:tcPr>
          <w:p w:rsidR="006F300B" w:rsidRDefault="006F300B" w:rsidP="00731FCD">
            <w:pPr>
              <w:spacing w:line="360" w:lineRule="auto"/>
            </w:pPr>
          </w:p>
        </w:tc>
        <w:tc>
          <w:tcPr>
            <w:tcW w:w="4156" w:type="dxa"/>
            <w:gridSpan w:val="2"/>
            <w:vAlign w:val="center"/>
          </w:tcPr>
          <w:p w:rsidR="006F300B" w:rsidRPr="00254D2A" w:rsidRDefault="006F300B" w:rsidP="00731FC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254D2A">
              <w:rPr>
                <w:b/>
                <w:bCs/>
                <w:sz w:val="24"/>
                <w:szCs w:val="24"/>
              </w:rPr>
              <w:t>Tachycardisants</w:t>
            </w:r>
          </w:p>
        </w:tc>
        <w:tc>
          <w:tcPr>
            <w:tcW w:w="4191" w:type="dxa"/>
            <w:gridSpan w:val="2"/>
            <w:vMerge w:val="restart"/>
            <w:vAlign w:val="center"/>
          </w:tcPr>
          <w:p w:rsidR="006F300B" w:rsidRPr="00254D2A" w:rsidRDefault="006F300B" w:rsidP="00731FCD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254D2A">
              <w:rPr>
                <w:b/>
                <w:bCs/>
                <w:sz w:val="24"/>
                <w:szCs w:val="24"/>
              </w:rPr>
              <w:t>Bradycardisants</w:t>
            </w:r>
          </w:p>
        </w:tc>
      </w:tr>
      <w:tr w:rsidR="006F300B" w:rsidTr="00DC17EF">
        <w:trPr>
          <w:trHeight w:val="136"/>
        </w:trPr>
        <w:tc>
          <w:tcPr>
            <w:tcW w:w="2075" w:type="dxa"/>
            <w:vMerge/>
          </w:tcPr>
          <w:p w:rsidR="006F300B" w:rsidRDefault="006F300B" w:rsidP="00731FCD">
            <w:pPr>
              <w:spacing w:line="360" w:lineRule="auto"/>
            </w:pPr>
          </w:p>
        </w:tc>
        <w:tc>
          <w:tcPr>
            <w:tcW w:w="2078" w:type="dxa"/>
            <w:vAlign w:val="center"/>
          </w:tcPr>
          <w:p w:rsidR="006F300B" w:rsidRPr="00254D2A" w:rsidRDefault="006F300B" w:rsidP="00731FCD">
            <w:pPr>
              <w:spacing w:line="360" w:lineRule="auto"/>
              <w:jc w:val="center"/>
              <w:rPr>
                <w:b/>
                <w:bCs/>
              </w:rPr>
            </w:pPr>
            <w:r w:rsidRPr="00254D2A">
              <w:rPr>
                <w:b/>
                <w:bCs/>
              </w:rPr>
              <w:t>Anciens</w:t>
            </w:r>
          </w:p>
        </w:tc>
        <w:tc>
          <w:tcPr>
            <w:tcW w:w="2078" w:type="dxa"/>
            <w:vAlign w:val="center"/>
          </w:tcPr>
          <w:p w:rsidR="006F300B" w:rsidRPr="00254D2A" w:rsidRDefault="006F300B" w:rsidP="00731FCD">
            <w:pPr>
              <w:spacing w:line="360" w:lineRule="auto"/>
              <w:jc w:val="center"/>
              <w:rPr>
                <w:b/>
                <w:bCs/>
              </w:rPr>
            </w:pPr>
            <w:r w:rsidRPr="00254D2A">
              <w:rPr>
                <w:b/>
                <w:bCs/>
              </w:rPr>
              <w:t>Nouveaux</w:t>
            </w:r>
          </w:p>
        </w:tc>
        <w:tc>
          <w:tcPr>
            <w:tcW w:w="4191" w:type="dxa"/>
            <w:gridSpan w:val="2"/>
            <w:vMerge/>
          </w:tcPr>
          <w:p w:rsidR="006F300B" w:rsidRDefault="006F300B" w:rsidP="00731FCD">
            <w:pPr>
              <w:spacing w:line="360" w:lineRule="auto"/>
            </w:pPr>
          </w:p>
        </w:tc>
      </w:tr>
      <w:tr w:rsidR="001F3BF3" w:rsidTr="00DC17EF">
        <w:trPr>
          <w:trHeight w:val="448"/>
        </w:trPr>
        <w:tc>
          <w:tcPr>
            <w:tcW w:w="2075" w:type="dxa"/>
            <w:vAlign w:val="center"/>
          </w:tcPr>
          <w:p w:rsidR="001F3BF3" w:rsidRPr="00551229" w:rsidRDefault="009D40B1" w:rsidP="00731FCD">
            <w:pPr>
              <w:spacing w:line="360" w:lineRule="auto"/>
              <w:rPr>
                <w:b/>
                <w:bCs/>
              </w:rPr>
            </w:pPr>
            <w:r w:rsidRPr="00551229">
              <w:rPr>
                <w:b/>
                <w:bCs/>
              </w:rPr>
              <w:t>Molécules</w:t>
            </w:r>
          </w:p>
        </w:tc>
        <w:tc>
          <w:tcPr>
            <w:tcW w:w="2078" w:type="dxa"/>
          </w:tcPr>
          <w:p w:rsidR="00F5160F" w:rsidRPr="00C417B4" w:rsidRDefault="00F5160F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Nifédipine</w:t>
            </w:r>
          </w:p>
          <w:p w:rsidR="00F5160F" w:rsidRPr="00C417B4" w:rsidRDefault="00F5160F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Nicardipine</w:t>
            </w:r>
          </w:p>
        </w:tc>
        <w:tc>
          <w:tcPr>
            <w:tcW w:w="2078" w:type="dxa"/>
          </w:tcPr>
          <w:p w:rsidR="00F5160F" w:rsidRPr="00C417B4" w:rsidRDefault="00F5160F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Amlodipine</w:t>
            </w:r>
          </w:p>
        </w:tc>
        <w:tc>
          <w:tcPr>
            <w:tcW w:w="2076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Diltiazem</w:t>
            </w:r>
          </w:p>
        </w:tc>
        <w:tc>
          <w:tcPr>
            <w:tcW w:w="2115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Vérapamil</w:t>
            </w:r>
          </w:p>
        </w:tc>
      </w:tr>
      <w:tr w:rsidR="006F300B" w:rsidTr="00DC17EF">
        <w:trPr>
          <w:trHeight w:val="82"/>
        </w:trPr>
        <w:tc>
          <w:tcPr>
            <w:tcW w:w="2075" w:type="dxa"/>
            <w:vAlign w:val="center"/>
          </w:tcPr>
          <w:p w:rsidR="006F300B" w:rsidRPr="00551229" w:rsidRDefault="006F300B" w:rsidP="00731FCD">
            <w:pPr>
              <w:spacing w:line="360" w:lineRule="auto"/>
              <w:rPr>
                <w:b/>
                <w:bCs/>
              </w:rPr>
            </w:pPr>
            <w:r w:rsidRPr="00551229">
              <w:rPr>
                <w:b/>
                <w:bCs/>
              </w:rPr>
              <w:t>Sélectivité</w:t>
            </w:r>
          </w:p>
        </w:tc>
        <w:tc>
          <w:tcPr>
            <w:tcW w:w="2078" w:type="dxa"/>
          </w:tcPr>
          <w:p w:rsidR="006F300B" w:rsidRPr="00C417B4" w:rsidRDefault="006F300B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Artérielle</w:t>
            </w:r>
          </w:p>
        </w:tc>
        <w:tc>
          <w:tcPr>
            <w:tcW w:w="2078" w:type="dxa"/>
          </w:tcPr>
          <w:p w:rsidR="006F300B" w:rsidRPr="00C417B4" w:rsidRDefault="006F300B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Artérielle</w:t>
            </w:r>
          </w:p>
        </w:tc>
        <w:tc>
          <w:tcPr>
            <w:tcW w:w="2076" w:type="dxa"/>
          </w:tcPr>
          <w:p w:rsidR="006F300B" w:rsidRPr="00C417B4" w:rsidRDefault="006F300B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Mixte</w:t>
            </w:r>
          </w:p>
        </w:tc>
        <w:tc>
          <w:tcPr>
            <w:tcW w:w="2115" w:type="dxa"/>
          </w:tcPr>
          <w:p w:rsidR="006F300B" w:rsidRPr="00C417B4" w:rsidRDefault="006F300B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Cardiaque</w:t>
            </w:r>
          </w:p>
        </w:tc>
      </w:tr>
      <w:tr w:rsidR="001F3BF3" w:rsidTr="00DC17EF">
        <w:tc>
          <w:tcPr>
            <w:tcW w:w="2075" w:type="dxa"/>
            <w:vAlign w:val="center"/>
          </w:tcPr>
          <w:p w:rsidR="001F3BF3" w:rsidRPr="00551229" w:rsidRDefault="000D6926" w:rsidP="00731FCD">
            <w:pPr>
              <w:spacing w:line="360" w:lineRule="auto"/>
              <w:rPr>
                <w:b/>
                <w:bCs/>
              </w:rPr>
            </w:pPr>
            <w:r w:rsidRPr="00551229">
              <w:rPr>
                <w:b/>
                <w:bCs/>
              </w:rPr>
              <w:t>Indications</w:t>
            </w:r>
          </w:p>
        </w:tc>
        <w:tc>
          <w:tcPr>
            <w:tcW w:w="2078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HTA</w:t>
            </w:r>
          </w:p>
        </w:tc>
        <w:tc>
          <w:tcPr>
            <w:tcW w:w="2078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HTA</w:t>
            </w:r>
          </w:p>
          <w:p w:rsidR="00A54FD5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Angor stable</w:t>
            </w:r>
          </w:p>
        </w:tc>
        <w:tc>
          <w:tcPr>
            <w:tcW w:w="2076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HTA</w:t>
            </w:r>
          </w:p>
          <w:p w:rsidR="00A54FD5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Angor stable</w:t>
            </w:r>
          </w:p>
          <w:p w:rsidR="00A54FD5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TSV</w:t>
            </w:r>
          </w:p>
        </w:tc>
        <w:tc>
          <w:tcPr>
            <w:tcW w:w="2115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TSV</w:t>
            </w:r>
          </w:p>
        </w:tc>
      </w:tr>
      <w:tr w:rsidR="001F3BF3" w:rsidTr="00DC17EF">
        <w:tc>
          <w:tcPr>
            <w:tcW w:w="2075" w:type="dxa"/>
            <w:vAlign w:val="center"/>
          </w:tcPr>
          <w:p w:rsidR="001F3BF3" w:rsidRPr="00551229" w:rsidRDefault="000D6926" w:rsidP="00731FCD">
            <w:pPr>
              <w:spacing w:line="360" w:lineRule="auto"/>
              <w:rPr>
                <w:b/>
                <w:bCs/>
              </w:rPr>
            </w:pPr>
            <w:r w:rsidRPr="00551229">
              <w:rPr>
                <w:b/>
                <w:bCs/>
              </w:rPr>
              <w:t>Contre-indications</w:t>
            </w:r>
          </w:p>
        </w:tc>
        <w:tc>
          <w:tcPr>
            <w:tcW w:w="2078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Insuffisance cardiaque</w:t>
            </w:r>
          </w:p>
        </w:tc>
        <w:tc>
          <w:tcPr>
            <w:tcW w:w="2078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Insuffisance cardiaque</w:t>
            </w:r>
          </w:p>
        </w:tc>
        <w:tc>
          <w:tcPr>
            <w:tcW w:w="2076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Insuffisance cardiaque</w:t>
            </w:r>
          </w:p>
          <w:p w:rsidR="00DF7512" w:rsidRPr="00C417B4" w:rsidRDefault="00DF7512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BAV</w:t>
            </w:r>
          </w:p>
        </w:tc>
        <w:tc>
          <w:tcPr>
            <w:tcW w:w="2115" w:type="dxa"/>
          </w:tcPr>
          <w:p w:rsidR="001F3BF3" w:rsidRPr="00C417B4" w:rsidRDefault="00A54FD5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Insuffisance cardiaque</w:t>
            </w:r>
          </w:p>
          <w:p w:rsidR="00DF7512" w:rsidRPr="00C417B4" w:rsidRDefault="00DF7512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BAV</w:t>
            </w:r>
          </w:p>
        </w:tc>
      </w:tr>
      <w:tr w:rsidR="001F3BF3" w:rsidTr="00DC17EF">
        <w:tc>
          <w:tcPr>
            <w:tcW w:w="2075" w:type="dxa"/>
            <w:vAlign w:val="center"/>
          </w:tcPr>
          <w:p w:rsidR="001F3BF3" w:rsidRPr="00551229" w:rsidRDefault="000D6926" w:rsidP="00731FCD">
            <w:pPr>
              <w:spacing w:line="360" w:lineRule="auto"/>
              <w:rPr>
                <w:b/>
                <w:bCs/>
              </w:rPr>
            </w:pPr>
            <w:r w:rsidRPr="00551229">
              <w:rPr>
                <w:b/>
                <w:bCs/>
              </w:rPr>
              <w:t>Effets secondaires</w:t>
            </w:r>
          </w:p>
        </w:tc>
        <w:tc>
          <w:tcPr>
            <w:tcW w:w="2078" w:type="dxa"/>
          </w:tcPr>
          <w:p w:rsidR="001F3BF3" w:rsidRPr="00C417B4" w:rsidRDefault="00DF7512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Tachycardie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Céphalées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Flush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OMI</w:t>
            </w:r>
          </w:p>
        </w:tc>
        <w:tc>
          <w:tcPr>
            <w:tcW w:w="2078" w:type="dxa"/>
          </w:tcPr>
          <w:p w:rsidR="001F3BF3" w:rsidRPr="00C417B4" w:rsidRDefault="00DF7512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Tachycardie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Céphalées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Flush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OMI</w:t>
            </w:r>
          </w:p>
        </w:tc>
        <w:tc>
          <w:tcPr>
            <w:tcW w:w="2076" w:type="dxa"/>
          </w:tcPr>
          <w:p w:rsidR="001F3BF3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Bradycardie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BAV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BSA</w:t>
            </w:r>
          </w:p>
        </w:tc>
        <w:tc>
          <w:tcPr>
            <w:tcW w:w="2115" w:type="dxa"/>
          </w:tcPr>
          <w:p w:rsidR="001F3BF3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Bradycardie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BAV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BSA</w:t>
            </w:r>
          </w:p>
          <w:p w:rsidR="00A56BF0" w:rsidRPr="00C417B4" w:rsidRDefault="00A56BF0" w:rsidP="00731FCD">
            <w:pPr>
              <w:spacing w:line="360" w:lineRule="auto"/>
              <w:rPr>
                <w:sz w:val="20"/>
                <w:szCs w:val="20"/>
              </w:rPr>
            </w:pPr>
            <w:r w:rsidRPr="00C417B4">
              <w:rPr>
                <w:sz w:val="20"/>
                <w:szCs w:val="20"/>
              </w:rPr>
              <w:t>Constipation</w:t>
            </w:r>
          </w:p>
        </w:tc>
      </w:tr>
    </w:tbl>
    <w:p w:rsidR="00B22237" w:rsidRPr="003A4C55" w:rsidRDefault="00B22237" w:rsidP="00731FCD">
      <w:pPr>
        <w:spacing w:after="0" w:line="360" w:lineRule="auto"/>
        <w:rPr>
          <w:b/>
          <w:bCs/>
          <w:color w:val="0000FF"/>
          <w:sz w:val="24"/>
          <w:szCs w:val="24"/>
          <w:u w:val="double"/>
        </w:rPr>
      </w:pPr>
      <w:r w:rsidRPr="003A4C55">
        <w:rPr>
          <w:b/>
          <w:bCs/>
          <w:color w:val="0000FF"/>
          <w:sz w:val="24"/>
          <w:szCs w:val="24"/>
          <w:u w:val="double"/>
        </w:rPr>
        <w:t>Les IC qui ont une sélectivité cardiaque :</w:t>
      </w:r>
    </w:p>
    <w:p w:rsidR="00C07787" w:rsidRPr="00731FCD" w:rsidRDefault="00C07787" w:rsidP="00731FCD">
      <w:pPr>
        <w:spacing w:after="0" w:line="360" w:lineRule="auto"/>
        <w:rPr>
          <w:b/>
          <w:bCs/>
          <w:sz w:val="24"/>
          <w:szCs w:val="24"/>
        </w:rPr>
      </w:pPr>
      <w:r w:rsidRPr="00731FCD">
        <w:rPr>
          <w:b/>
          <w:bCs/>
          <w:sz w:val="24"/>
          <w:szCs w:val="24"/>
        </w:rPr>
        <w:t xml:space="preserve">   Chronotrope –</w:t>
      </w:r>
    </w:p>
    <w:p w:rsidR="0081611E" w:rsidRPr="00731FCD" w:rsidRDefault="00291EFD" w:rsidP="00731FCD">
      <w:pPr>
        <w:spacing w:after="0" w:line="360" w:lineRule="auto"/>
        <w:rPr>
          <w:b/>
          <w:bCs/>
          <w:sz w:val="24"/>
          <w:szCs w:val="24"/>
        </w:rPr>
      </w:pPr>
      <w:r w:rsidRPr="00731FCD">
        <w:rPr>
          <w:b/>
          <w:bCs/>
          <w:sz w:val="24"/>
          <w:szCs w:val="24"/>
        </w:rPr>
        <w:t xml:space="preserve">   Dro</w:t>
      </w:r>
      <w:r w:rsidR="0081611E" w:rsidRPr="00731FCD">
        <w:rPr>
          <w:b/>
          <w:bCs/>
          <w:sz w:val="24"/>
          <w:szCs w:val="24"/>
        </w:rPr>
        <w:t>motrope –</w:t>
      </w:r>
    </w:p>
    <w:p w:rsidR="00C07787" w:rsidRPr="00731FCD" w:rsidRDefault="00C07787" w:rsidP="00731FCD">
      <w:pPr>
        <w:spacing w:after="0" w:line="360" w:lineRule="auto"/>
        <w:rPr>
          <w:b/>
          <w:bCs/>
          <w:sz w:val="24"/>
          <w:szCs w:val="24"/>
        </w:rPr>
      </w:pPr>
      <w:r w:rsidRPr="00731FCD">
        <w:rPr>
          <w:b/>
          <w:bCs/>
          <w:sz w:val="24"/>
          <w:szCs w:val="24"/>
        </w:rPr>
        <w:t xml:space="preserve">   Inotrope –</w:t>
      </w:r>
      <w:r w:rsidR="001E7E3E">
        <w:rPr>
          <w:b/>
          <w:bCs/>
          <w:sz w:val="24"/>
          <w:szCs w:val="24"/>
        </w:rPr>
        <w:t xml:space="preserve"> et action antispasmodique sur les coronaires</w:t>
      </w:r>
    </w:p>
    <w:p w:rsidR="0081611E" w:rsidRPr="00935A65" w:rsidRDefault="00935A65" w:rsidP="00731FCD">
      <w:pPr>
        <w:spacing w:after="0" w:line="360" w:lineRule="auto"/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935A65">
        <w:rPr>
          <w:b/>
          <w:bCs/>
          <w:sz w:val="28"/>
          <w:szCs w:val="28"/>
          <w:u w:val="single"/>
        </w:rPr>
        <w:t>LES DERIVES NITRES</w:t>
      </w:r>
      <w:r>
        <w:rPr>
          <w:b/>
          <w:bCs/>
          <w:sz w:val="28"/>
          <w:szCs w:val="28"/>
          <w:u w:val="single"/>
        </w:rPr>
        <w:t> :</w:t>
      </w:r>
    </w:p>
    <w:p w:rsidR="00935A65" w:rsidRPr="00E57F19" w:rsidRDefault="0099764E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57F19">
        <w:rPr>
          <w:b/>
          <w:bCs/>
          <w:sz w:val="24"/>
          <w:szCs w:val="24"/>
          <w:u w:val="single"/>
        </w:rPr>
        <w:t>Effets sur la circulation systémique</w:t>
      </w:r>
      <w:r w:rsidR="00386BAA">
        <w:rPr>
          <w:b/>
          <w:bCs/>
          <w:sz w:val="24"/>
          <w:szCs w:val="24"/>
          <w:u w:val="single"/>
        </w:rPr>
        <w:t> :</w:t>
      </w:r>
    </w:p>
    <w:p w:rsidR="0099764E" w:rsidRPr="00731FCD" w:rsidRDefault="00386BAA" w:rsidP="00731FCD">
      <w:pPr>
        <w:spacing w:after="0" w:line="360" w:lineRule="auto"/>
        <w:rPr>
          <w:rFonts w:cs="Cambria Math"/>
        </w:rPr>
      </w:pPr>
      <w:r w:rsidRPr="00386BAA">
        <w:t xml:space="preserve">- </w:t>
      </w:r>
      <w:r w:rsidR="0099764E" w:rsidRPr="00DA2DB8">
        <w:rPr>
          <w:b/>
          <w:bCs/>
        </w:rPr>
        <w:t>Vasodilatation veineuse</w:t>
      </w:r>
      <w:r w:rsidRPr="00DA2DB8">
        <w:rPr>
          <w:b/>
          <w:bCs/>
        </w:rPr>
        <w:t> </w:t>
      </w:r>
      <w:r w:rsidR="00317488" w:rsidRPr="00DA2DB8">
        <w:rPr>
          <w:b/>
          <w:bCs/>
        </w:rPr>
        <w:t>:</w:t>
      </w:r>
      <w:r w:rsidR="00317488" w:rsidRPr="00386BAA">
        <w:rPr>
          <w:rFonts w:cs="Cambria Math"/>
        </w:rPr>
        <w:t xml:space="preserve"> ↘</w:t>
      </w:r>
      <w:r w:rsidR="001F2899">
        <w:rPr>
          <w:rFonts w:cstheme="minorHAnsi"/>
        </w:rPr>
        <w:t xml:space="preserve"> </w:t>
      </w:r>
      <w:r w:rsidR="001F2899">
        <w:t>r</w:t>
      </w:r>
      <w:r w:rsidR="0099764E" w:rsidRPr="00386BAA">
        <w:t xml:space="preserve">etour veineux </w:t>
      </w:r>
      <w:r w:rsidR="0099764E" w:rsidRPr="00386BAA">
        <w:sym w:font="Wingdings" w:char="F0E0"/>
      </w:r>
      <w:r w:rsidR="00E57F19" w:rsidRPr="00386BAA">
        <w:rPr>
          <w:rFonts w:cs="Cambria Math"/>
        </w:rPr>
        <w:t xml:space="preserve">↘ </w:t>
      </w:r>
      <w:r w:rsidR="0099764E" w:rsidRPr="00386BAA">
        <w:t xml:space="preserve">Pression de l’OD </w:t>
      </w:r>
      <w:r w:rsidR="0099764E" w:rsidRPr="00386BAA">
        <w:sym w:font="Wingdings" w:char="F0E0"/>
      </w:r>
      <w:r w:rsidR="00E57F19" w:rsidRPr="00386BAA">
        <w:rPr>
          <w:rFonts w:cs="Cambria Math"/>
        </w:rPr>
        <w:t xml:space="preserve">↘ </w:t>
      </w:r>
      <w:r w:rsidR="0099764E" w:rsidRPr="00386BAA">
        <w:t xml:space="preserve">PAP </w:t>
      </w:r>
      <w:r w:rsidR="0099764E" w:rsidRPr="00386BAA">
        <w:sym w:font="Wingdings" w:char="F0E0"/>
      </w:r>
      <w:r w:rsidR="00E57F19" w:rsidRPr="00386BAA">
        <w:rPr>
          <w:rFonts w:cs="Cambria Math"/>
        </w:rPr>
        <w:t xml:space="preserve">↘ </w:t>
      </w:r>
      <w:r w:rsidR="0099764E" w:rsidRPr="00386BAA">
        <w:t xml:space="preserve">PCP </w:t>
      </w:r>
      <w:r w:rsidR="00317488">
        <w:sym w:font="Wingdings" w:char="F0E0"/>
      </w:r>
      <w:r w:rsidR="00E57F19" w:rsidRPr="00386BAA">
        <w:rPr>
          <w:rFonts w:cs="Cambria Math"/>
        </w:rPr>
        <w:t xml:space="preserve">↘ </w:t>
      </w:r>
      <w:r w:rsidR="0099764E" w:rsidRPr="00386BAA">
        <w:t>PTDVG</w:t>
      </w:r>
    </w:p>
    <w:p w:rsidR="0099764E" w:rsidRPr="00386BAA" w:rsidRDefault="00386BAA" w:rsidP="00731FCD">
      <w:pPr>
        <w:spacing w:after="0" w:line="360" w:lineRule="auto"/>
      </w:pPr>
      <w:r w:rsidRPr="00386BAA">
        <w:t xml:space="preserve">- </w:t>
      </w:r>
      <w:r w:rsidR="0099764E" w:rsidRPr="00386BAA">
        <w:t>Vasodilatation des artères de conduction</w:t>
      </w:r>
      <w:r w:rsidR="00DA2DB8">
        <w:t xml:space="preserve"> (les grosses artères)</w:t>
      </w:r>
    </w:p>
    <w:p w:rsidR="00731FCD" w:rsidRPr="00386BAA" w:rsidRDefault="00386BAA" w:rsidP="00731FCD">
      <w:pPr>
        <w:spacing w:after="0" w:line="360" w:lineRule="auto"/>
      </w:pPr>
      <w:r w:rsidRPr="00386BAA">
        <w:t xml:space="preserve">- </w:t>
      </w:r>
      <w:r w:rsidR="0099764E" w:rsidRPr="00386BAA">
        <w:t>Pas d’action sur les artérioles</w:t>
      </w:r>
    </w:p>
    <w:p w:rsidR="0099764E" w:rsidRDefault="0099764E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57AB3">
        <w:rPr>
          <w:b/>
          <w:bCs/>
          <w:sz w:val="24"/>
          <w:szCs w:val="24"/>
          <w:highlight w:val="yellow"/>
          <w:u w:val="single"/>
        </w:rPr>
        <w:t>Effets sur la circulation coronaire</w:t>
      </w:r>
      <w:r w:rsidR="00386BAA" w:rsidRPr="00E57AB3">
        <w:rPr>
          <w:b/>
          <w:bCs/>
          <w:sz w:val="24"/>
          <w:szCs w:val="24"/>
          <w:highlight w:val="yellow"/>
          <w:u w:val="single"/>
        </w:rPr>
        <w:t> :</w:t>
      </w:r>
    </w:p>
    <w:p w:rsidR="00386BAA" w:rsidRPr="00386BAA" w:rsidRDefault="00386BAA" w:rsidP="00731FCD">
      <w:pPr>
        <w:spacing w:after="0" w:line="360" w:lineRule="auto"/>
      </w:pPr>
      <w:r w:rsidRPr="00DA2DB8">
        <w:rPr>
          <w:b/>
          <w:bCs/>
        </w:rPr>
        <w:t>- Indirect +++ :</w:t>
      </w:r>
      <w:r w:rsidRPr="00386BAA">
        <w:rPr>
          <w:rFonts w:cs="Cambria Math"/>
        </w:rPr>
        <w:t xml:space="preserve">↘ </w:t>
      </w:r>
      <w:r w:rsidRPr="00386BAA">
        <w:t xml:space="preserve">PTDVG </w:t>
      </w:r>
      <w:r w:rsidRPr="00386BAA">
        <w:sym w:font="Wingdings" w:char="F0E0"/>
      </w:r>
      <w:r w:rsidRPr="00386BAA">
        <w:rPr>
          <w:rFonts w:cs="Cambria Math"/>
        </w:rPr>
        <w:t xml:space="preserve">↘ </w:t>
      </w:r>
      <w:r w:rsidRPr="00386BAA">
        <w:t>Besoins en O</w:t>
      </w:r>
      <w:r w:rsidRPr="00386BAA">
        <w:rPr>
          <w:vertAlign w:val="subscript"/>
        </w:rPr>
        <w:t xml:space="preserve">2 </w:t>
      </w:r>
    </w:p>
    <w:p w:rsidR="00386BAA" w:rsidRPr="00386BAA" w:rsidRDefault="00386BAA" w:rsidP="00731FCD">
      <w:pPr>
        <w:spacing w:after="0" w:line="360" w:lineRule="auto"/>
      </w:pPr>
      <w:r w:rsidRPr="00DA2DB8">
        <w:rPr>
          <w:b/>
          <w:bCs/>
        </w:rPr>
        <w:t>- Direct :</w:t>
      </w:r>
      <w:r w:rsidRPr="00386BAA">
        <w:t xml:space="preserve"> vasodilatation des artères coronaires</w:t>
      </w:r>
    </w:p>
    <w:p w:rsidR="00386BAA" w:rsidRPr="005964BF" w:rsidRDefault="00DA2DB8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964BF">
        <w:rPr>
          <w:b/>
          <w:bCs/>
          <w:sz w:val="24"/>
          <w:szCs w:val="24"/>
          <w:u w:val="single"/>
        </w:rPr>
        <w:lastRenderedPageBreak/>
        <w:t>Indications :</w:t>
      </w:r>
    </w:p>
    <w:p w:rsidR="00DA2DB8" w:rsidRDefault="003324DD" w:rsidP="00731FCD">
      <w:pPr>
        <w:spacing w:after="0" w:line="360" w:lineRule="auto"/>
      </w:pPr>
      <w:r>
        <w:t xml:space="preserve">- </w:t>
      </w:r>
      <w:r w:rsidR="00DA2DB8">
        <w:t>Angor stable</w:t>
      </w:r>
    </w:p>
    <w:p w:rsidR="00DA2DB8" w:rsidRDefault="003324DD" w:rsidP="00731FCD">
      <w:pPr>
        <w:spacing w:after="0" w:line="360" w:lineRule="auto"/>
      </w:pPr>
      <w:r>
        <w:t xml:space="preserve">- </w:t>
      </w:r>
      <w:r w:rsidR="00DA2DB8">
        <w:t>Syndrome coronarien aiguë</w:t>
      </w:r>
    </w:p>
    <w:p w:rsidR="00DA2DB8" w:rsidRDefault="003324DD" w:rsidP="00731FCD">
      <w:pPr>
        <w:spacing w:after="0" w:line="360" w:lineRule="auto"/>
      </w:pPr>
      <w:r>
        <w:t xml:space="preserve">- </w:t>
      </w:r>
      <w:r w:rsidR="005964BF">
        <w:t>Insuffisance cardiaque</w:t>
      </w:r>
      <w:r>
        <w:t xml:space="preserve"> aiguë et chronique</w:t>
      </w:r>
    </w:p>
    <w:p w:rsidR="003324DD" w:rsidRPr="00843C9B" w:rsidRDefault="005964BF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843C9B">
        <w:rPr>
          <w:b/>
          <w:bCs/>
          <w:sz w:val="24"/>
          <w:szCs w:val="24"/>
          <w:u w:val="single"/>
        </w:rPr>
        <w:t>Contre-indications :</w:t>
      </w:r>
    </w:p>
    <w:p w:rsidR="00843C9B" w:rsidRDefault="00843C9B" w:rsidP="00731FCD">
      <w:pPr>
        <w:spacing w:after="0" w:line="360" w:lineRule="auto"/>
      </w:pPr>
      <w:r>
        <w:t>- PAS &lt; 90 mmHg</w:t>
      </w:r>
    </w:p>
    <w:p w:rsidR="005964BF" w:rsidRDefault="00843C9B" w:rsidP="00731FCD">
      <w:pPr>
        <w:spacing w:after="0" w:line="360" w:lineRule="auto"/>
      </w:pPr>
      <w:r>
        <w:t>- IDM droit</w:t>
      </w:r>
    </w:p>
    <w:p w:rsidR="00843C9B" w:rsidRDefault="00843C9B" w:rsidP="00731FCD">
      <w:pPr>
        <w:spacing w:after="0" w:line="360" w:lineRule="auto"/>
      </w:pPr>
      <w:r>
        <w:t>- RAo</w:t>
      </w:r>
    </w:p>
    <w:p w:rsidR="00843C9B" w:rsidRDefault="00843C9B" w:rsidP="00731FCD">
      <w:pPr>
        <w:spacing w:after="0" w:line="360" w:lineRule="auto"/>
      </w:pPr>
      <w:r>
        <w:t>- Cardiomyopathie obstructive</w:t>
      </w:r>
    </w:p>
    <w:p w:rsidR="00843C9B" w:rsidRDefault="00843C9B" w:rsidP="00731FCD">
      <w:pPr>
        <w:spacing w:after="0" w:line="360" w:lineRule="auto"/>
      </w:pPr>
      <w:r>
        <w:t>- Utilisation de sildénafil (viagra)</w:t>
      </w:r>
    </w:p>
    <w:p w:rsidR="001F2899" w:rsidRDefault="001F2899" w:rsidP="00731FCD">
      <w:pPr>
        <w:spacing w:after="0" w:line="360" w:lineRule="auto"/>
      </w:pPr>
      <w:r>
        <w:t xml:space="preserve">- Glaucome à angle ouvert </w:t>
      </w:r>
    </w:p>
    <w:p w:rsidR="00136D0A" w:rsidRPr="00136D0A" w:rsidRDefault="00136D0A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136D0A">
        <w:rPr>
          <w:b/>
          <w:bCs/>
          <w:sz w:val="24"/>
          <w:szCs w:val="24"/>
          <w:u w:val="single"/>
        </w:rPr>
        <w:t>Effets secondaires :</w:t>
      </w:r>
    </w:p>
    <w:p w:rsidR="00136D0A" w:rsidRDefault="00136D0A" w:rsidP="00731FCD">
      <w:pPr>
        <w:spacing w:after="0" w:line="360" w:lineRule="auto"/>
      </w:pPr>
      <w:r>
        <w:t>- Hypotension</w:t>
      </w:r>
    </w:p>
    <w:p w:rsidR="00136D0A" w:rsidRDefault="00136D0A" w:rsidP="00731FCD">
      <w:pPr>
        <w:spacing w:after="0" w:line="360" w:lineRule="auto"/>
      </w:pPr>
      <w:r>
        <w:t>- Céphalées</w:t>
      </w:r>
    </w:p>
    <w:p w:rsidR="001F2899" w:rsidRDefault="001F2899" w:rsidP="00731FCD">
      <w:pPr>
        <w:spacing w:after="0" w:line="360" w:lineRule="auto"/>
      </w:pPr>
      <w:r>
        <w:t>- Vertiges</w:t>
      </w:r>
    </w:p>
    <w:p w:rsidR="00485141" w:rsidRPr="00BB6E62" w:rsidRDefault="00BB6E62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B6E62">
        <w:rPr>
          <w:b/>
          <w:bCs/>
          <w:sz w:val="24"/>
          <w:szCs w:val="24"/>
          <w:u w:val="single"/>
        </w:rPr>
        <w:t>Phénomène de tolérance :</w:t>
      </w:r>
    </w:p>
    <w:p w:rsidR="00BB6E62" w:rsidRDefault="00BB6E62" w:rsidP="00731FCD">
      <w:pPr>
        <w:spacing w:after="0" w:line="360" w:lineRule="auto"/>
      </w:pPr>
      <w:r>
        <w:t>En cas d’utilisation chronique </w:t>
      </w:r>
      <w:r>
        <w:sym w:font="Wingdings" w:char="F0E0"/>
      </w:r>
      <w:r>
        <w:t xml:space="preserve"> Diminution de leur efficacité</w:t>
      </w:r>
    </w:p>
    <w:p w:rsidR="00BB6E62" w:rsidRDefault="00BB6E62" w:rsidP="00731FCD">
      <w:pPr>
        <w:spacing w:after="0" w:line="360" w:lineRule="auto"/>
      </w:pPr>
    </w:p>
    <w:p w:rsidR="00485141" w:rsidRPr="00485141" w:rsidRDefault="00485141" w:rsidP="00731FCD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85141">
        <w:rPr>
          <w:b/>
          <w:bCs/>
          <w:sz w:val="28"/>
          <w:szCs w:val="28"/>
          <w:u w:val="single"/>
        </w:rPr>
        <w:t>INHIBITEURS DE L’ENZYME DE CONVERSION :</w:t>
      </w:r>
    </w:p>
    <w:p w:rsidR="00047C2E" w:rsidRPr="00047C2E" w:rsidRDefault="00047C2E" w:rsidP="00731FCD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47C2E">
        <w:rPr>
          <w:b/>
          <w:bCs/>
          <w:sz w:val="24"/>
          <w:szCs w:val="24"/>
          <w:u w:val="single"/>
        </w:rPr>
        <w:t>Mécanisme d’action :</w:t>
      </w:r>
    </w:p>
    <w:p w:rsidR="00A32C27" w:rsidRDefault="00A32C27" w:rsidP="00731FCD">
      <w:pPr>
        <w:spacing w:after="0" w:line="360" w:lineRule="auto"/>
        <w:rPr>
          <w:b/>
          <w:bCs/>
        </w:rPr>
      </w:pPr>
      <w:r w:rsidRPr="00E455C1">
        <w:rPr>
          <w:b/>
          <w:bCs/>
          <w:highlight w:val="yellow"/>
        </w:rPr>
        <w:t>Actions de l’angiotensine 2 :</w:t>
      </w:r>
    </w:p>
    <w:p w:rsidR="00A32C27" w:rsidRDefault="00A32C27" w:rsidP="00731FCD">
      <w:pPr>
        <w:spacing w:after="0" w:line="360" w:lineRule="auto"/>
      </w:pPr>
      <w:r>
        <w:t>- Vasoconstriction</w:t>
      </w:r>
    </w:p>
    <w:p w:rsidR="00A32C27" w:rsidRDefault="00A32C27" w:rsidP="00731FCD">
      <w:pPr>
        <w:spacing w:after="0" w:line="360" w:lineRule="auto"/>
      </w:pPr>
      <w:r>
        <w:t>- Stimulation de la sécrétion de l’aldostérone</w:t>
      </w:r>
    </w:p>
    <w:p w:rsidR="00B17FEE" w:rsidRDefault="00B17FEE" w:rsidP="00731FCD">
      <w:pPr>
        <w:spacing w:after="0" w:line="360" w:lineRule="auto"/>
      </w:pPr>
      <w:r>
        <w:t>- Stimulation de la sécrétion de l’ADH</w:t>
      </w:r>
    </w:p>
    <w:p w:rsidR="00A32C27" w:rsidRDefault="00B779F1" w:rsidP="00731FCD">
      <w:pPr>
        <w:spacing w:after="0" w:line="360" w:lineRule="auto"/>
      </w:pPr>
      <w:r>
        <w:t>- Sensation de soif</w:t>
      </w:r>
    </w:p>
    <w:p w:rsidR="00485141" w:rsidRPr="00047C2E" w:rsidRDefault="00DB3155" w:rsidP="00731FCD">
      <w:pPr>
        <w:spacing w:after="0" w:line="360" w:lineRule="auto"/>
        <w:rPr>
          <w:b/>
          <w:bCs/>
        </w:rPr>
      </w:pPr>
      <w:r w:rsidRPr="00E455C1">
        <w:rPr>
          <w:b/>
          <w:bCs/>
          <w:highlight w:val="yellow"/>
        </w:rPr>
        <w:t>Enzyme de conversion :</w:t>
      </w:r>
    </w:p>
    <w:p w:rsidR="00DB3155" w:rsidRDefault="00047C2E" w:rsidP="00731FCD">
      <w:pPr>
        <w:spacing w:after="0" w:line="360" w:lineRule="auto"/>
      </w:pPr>
      <w:r>
        <w:t xml:space="preserve">- Angiotensine 1 </w:t>
      </w:r>
      <w:r>
        <w:sym w:font="Wingdings" w:char="F0E0"/>
      </w:r>
      <w:r>
        <w:t xml:space="preserve"> Angiotensine 2</w:t>
      </w:r>
    </w:p>
    <w:p w:rsidR="00047C2E" w:rsidRDefault="00047C2E" w:rsidP="00731FCD">
      <w:pPr>
        <w:spacing w:after="0" w:line="360" w:lineRule="auto"/>
      </w:pPr>
      <w:r>
        <w:t xml:space="preserve">- Bradykinine </w:t>
      </w:r>
      <w:r>
        <w:sym w:font="Wingdings" w:char="F0E0"/>
      </w:r>
      <w:r>
        <w:t>Kinine</w:t>
      </w:r>
    </w:p>
    <w:p w:rsidR="00047C2E" w:rsidRPr="00150596" w:rsidRDefault="00047C2E" w:rsidP="00731FCD">
      <w:pPr>
        <w:spacing w:after="0" w:line="360" w:lineRule="auto"/>
        <w:rPr>
          <w:b/>
          <w:bCs/>
        </w:rPr>
      </w:pPr>
      <w:r w:rsidRPr="00E455C1">
        <w:rPr>
          <w:b/>
          <w:bCs/>
          <w:highlight w:val="yellow"/>
        </w:rPr>
        <w:t>Inhibition de l’enzyme de conversion :</w:t>
      </w:r>
    </w:p>
    <w:p w:rsidR="00047C2E" w:rsidRDefault="00150596" w:rsidP="00731FCD">
      <w:pPr>
        <w:spacing w:after="0" w:line="360" w:lineRule="auto"/>
      </w:pPr>
      <w:r>
        <w:t xml:space="preserve">- </w:t>
      </w:r>
      <w:r w:rsidRPr="00386BAA">
        <w:rPr>
          <w:rFonts w:cs="Cambria Math"/>
        </w:rPr>
        <w:t>↘</w:t>
      </w:r>
      <w:r>
        <w:t>Angiotensine 2</w:t>
      </w:r>
    </w:p>
    <w:p w:rsidR="00CA3D56" w:rsidRDefault="00150596" w:rsidP="00731FCD">
      <w:pPr>
        <w:spacing w:after="0" w:line="360" w:lineRule="auto"/>
        <w:rPr>
          <w:rFonts w:cs="Cambria Math"/>
        </w:rPr>
      </w:pPr>
      <w:r>
        <w:t xml:space="preserve">- </w:t>
      </w:r>
      <w:r w:rsidRPr="00D11AB0">
        <w:rPr>
          <w:rFonts w:cs="Cambria Math"/>
        </w:rPr>
        <w:t>↗</w:t>
      </w:r>
      <w:r>
        <w:rPr>
          <w:rFonts w:cs="Cambria Math"/>
        </w:rPr>
        <w:t xml:space="preserve"> Bradykinine qui est vasodilatatrice</w:t>
      </w:r>
    </w:p>
    <w:p w:rsidR="00B17FEE" w:rsidRPr="0079465A" w:rsidRDefault="00B17FEE" w:rsidP="00731FCD">
      <w:pPr>
        <w:spacing w:after="0" w:line="360" w:lineRule="auto"/>
        <w:rPr>
          <w:rFonts w:cs="Cambria Math"/>
          <w:b/>
          <w:bCs/>
          <w:sz w:val="24"/>
          <w:szCs w:val="24"/>
          <w:u w:val="single"/>
        </w:rPr>
      </w:pPr>
      <w:r w:rsidRPr="0079465A">
        <w:rPr>
          <w:rFonts w:cs="Cambria Math"/>
          <w:b/>
          <w:bCs/>
          <w:sz w:val="24"/>
          <w:szCs w:val="24"/>
          <w:u w:val="single"/>
        </w:rPr>
        <w:t>Indications :</w:t>
      </w:r>
    </w:p>
    <w:p w:rsidR="00B17FEE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17FEE">
        <w:rPr>
          <w:rFonts w:cs="Cambria Math"/>
        </w:rPr>
        <w:t>HTA</w:t>
      </w:r>
    </w:p>
    <w:p w:rsidR="00B17FEE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17FEE">
        <w:rPr>
          <w:rFonts w:cs="Cambria Math"/>
        </w:rPr>
        <w:t>Post-IDM</w:t>
      </w:r>
    </w:p>
    <w:p w:rsidR="00B17FEE" w:rsidRDefault="00F1058A" w:rsidP="00731FCD">
      <w:pPr>
        <w:spacing w:after="0" w:line="360" w:lineRule="auto"/>
      </w:pPr>
      <w:r>
        <w:rPr>
          <w:rFonts w:cs="Cambria Math"/>
        </w:rPr>
        <w:t xml:space="preserve">- </w:t>
      </w:r>
      <w:r w:rsidR="000E4338" w:rsidRPr="000E4338">
        <w:rPr>
          <w:rFonts w:cs="Cambria Math"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6" type="#_x0000_t88" style="position:absolute;margin-left:133.05pt;margin-top:14.35pt;width:11.25pt;height:29.25pt;z-index:25166028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" adj="692" strokecolor="black [3213]" strokeweight="1.25pt"/>
        </w:pict>
      </w:r>
      <w:r w:rsidR="0079465A">
        <w:t>Insuffisance cardiaque chronique</w:t>
      </w:r>
    </w:p>
    <w:p w:rsidR="0079465A" w:rsidRDefault="00F1058A" w:rsidP="00731FCD">
      <w:pPr>
        <w:spacing w:after="0" w:line="360" w:lineRule="auto"/>
      </w:pPr>
      <w:r>
        <w:rPr>
          <w:rFonts w:cs="Cambria Math"/>
        </w:rPr>
        <w:t xml:space="preserve">- </w:t>
      </w:r>
      <w:r w:rsidR="000E4338" w:rsidRPr="000E4338">
        <w:rPr>
          <w:rFonts w:cs="Cambria Math"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9" type="#_x0000_t202" style="position:absolute;margin-left:144.25pt;margin-top:1.85pt;width:186.1pt;height:23.1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" stroked="f">
            <v:textbox>
              <w:txbxContent>
                <w:p w:rsidR="0079465A" w:rsidRDefault="0079465A" w:rsidP="0079465A">
                  <w:r>
                    <w:t>Mécanisme inconnu</w:t>
                  </w:r>
                </w:p>
              </w:txbxContent>
            </v:textbox>
          </v:shape>
        </w:pict>
      </w:r>
      <w:r w:rsidR="0079465A">
        <w:t>Néphropathie diabétique</w:t>
      </w:r>
    </w:p>
    <w:p w:rsidR="0079465A" w:rsidRDefault="00F1058A" w:rsidP="00731FCD">
      <w:pPr>
        <w:spacing w:after="0" w:line="360" w:lineRule="auto"/>
      </w:pPr>
      <w:r>
        <w:rPr>
          <w:rFonts w:cs="Cambria Math"/>
        </w:rPr>
        <w:t xml:space="preserve">- </w:t>
      </w:r>
      <w:r w:rsidR="0079465A">
        <w:t>Prévention cardio-vasculaire</w:t>
      </w:r>
    </w:p>
    <w:p w:rsidR="00E455C1" w:rsidRDefault="00E455C1" w:rsidP="00731FCD">
      <w:pPr>
        <w:spacing w:after="0" w:line="360" w:lineRule="auto"/>
      </w:pPr>
    </w:p>
    <w:p w:rsidR="00B15F9B" w:rsidRPr="0079465A" w:rsidRDefault="00B15F9B" w:rsidP="00731FCD">
      <w:pPr>
        <w:spacing w:after="0" w:line="360" w:lineRule="auto"/>
        <w:rPr>
          <w:rFonts w:cs="Cambria Math"/>
          <w:b/>
          <w:bCs/>
          <w:sz w:val="24"/>
          <w:szCs w:val="24"/>
          <w:u w:val="single"/>
        </w:rPr>
      </w:pPr>
      <w:r>
        <w:rPr>
          <w:rFonts w:cs="Cambria Math"/>
          <w:b/>
          <w:bCs/>
          <w:sz w:val="24"/>
          <w:szCs w:val="24"/>
          <w:u w:val="single"/>
        </w:rPr>
        <w:lastRenderedPageBreak/>
        <w:t>Contre-i</w:t>
      </w:r>
      <w:r w:rsidRPr="0079465A">
        <w:rPr>
          <w:rFonts w:cs="Cambria Math"/>
          <w:b/>
          <w:bCs/>
          <w:sz w:val="24"/>
          <w:szCs w:val="24"/>
          <w:u w:val="single"/>
        </w:rPr>
        <w:t>ndications :</w:t>
      </w:r>
    </w:p>
    <w:p w:rsidR="00B83FDE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F61C56">
        <w:rPr>
          <w:rFonts w:cs="Cambria Math"/>
        </w:rPr>
        <w:t>Grossesse</w:t>
      </w:r>
    </w:p>
    <w:p w:rsidR="00F61C56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16020A">
        <w:rPr>
          <w:rFonts w:cs="Cambria Math"/>
        </w:rPr>
        <w:t>Hyperkaliémie</w:t>
      </w:r>
    </w:p>
    <w:p w:rsidR="0016020A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16020A">
        <w:rPr>
          <w:rFonts w:cs="Cambria Math"/>
        </w:rPr>
        <w:t>Sténose de l’artère rénale bilatérale, ou sur rein unique</w:t>
      </w:r>
    </w:p>
    <w:p w:rsidR="0016020A" w:rsidRPr="00F1058A" w:rsidRDefault="0016020A" w:rsidP="00731FCD">
      <w:pPr>
        <w:spacing w:after="0" w:line="360" w:lineRule="auto"/>
        <w:rPr>
          <w:rFonts w:cs="Cambria Math"/>
          <w:b/>
          <w:bCs/>
          <w:sz w:val="24"/>
          <w:szCs w:val="24"/>
          <w:u w:val="single"/>
        </w:rPr>
      </w:pPr>
      <w:r w:rsidRPr="00F1058A">
        <w:rPr>
          <w:rFonts w:cs="Cambria Math"/>
          <w:b/>
          <w:bCs/>
          <w:sz w:val="24"/>
          <w:szCs w:val="24"/>
          <w:u w:val="single"/>
        </w:rPr>
        <w:t>Effets secondaires :</w:t>
      </w:r>
      <w:r w:rsidR="00AC5C5E">
        <w:rPr>
          <w:rFonts w:cs="Cambria Math"/>
          <w:b/>
          <w:bCs/>
          <w:sz w:val="24"/>
          <w:szCs w:val="24"/>
          <w:u w:val="single"/>
        </w:rPr>
        <w:t xml:space="preserve"> +++++++</w:t>
      </w:r>
    </w:p>
    <w:p w:rsidR="00B00C07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00C07">
        <w:rPr>
          <w:rFonts w:cs="Cambria Math"/>
        </w:rPr>
        <w:t>Hypotension</w:t>
      </w:r>
    </w:p>
    <w:p w:rsidR="0016020A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00C07">
        <w:rPr>
          <w:rFonts w:cs="Cambria Math"/>
        </w:rPr>
        <w:t>Effet tératogène</w:t>
      </w:r>
    </w:p>
    <w:p w:rsidR="00B00C07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00C07">
        <w:rPr>
          <w:rFonts w:cs="Cambria Math"/>
        </w:rPr>
        <w:t>Hyperkaliémie</w:t>
      </w:r>
    </w:p>
    <w:p w:rsidR="00B00C07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00C07">
        <w:rPr>
          <w:rFonts w:cs="Cambria Math"/>
        </w:rPr>
        <w:t>Œdème angio-neurotique</w:t>
      </w:r>
      <w:r w:rsidR="00493520" w:rsidRPr="00493520">
        <w:rPr>
          <w:rFonts w:cs="Cambria Math"/>
        </w:rPr>
        <w:sym w:font="Wingdings" w:char="F0E0"/>
      </w:r>
      <w:r w:rsidR="00493520">
        <w:rPr>
          <w:rFonts w:cs="Cambria Math"/>
        </w:rPr>
        <w:t xml:space="preserve"> Bradykinine</w:t>
      </w:r>
    </w:p>
    <w:p w:rsidR="00E455C1" w:rsidRDefault="00E455C1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>
        <w:rPr>
          <w:rFonts w:cstheme="minorHAnsi"/>
        </w:rPr>
        <w:t>↗</w:t>
      </w:r>
      <w:r>
        <w:rPr>
          <w:rFonts w:cs="Cambria Math"/>
        </w:rPr>
        <w:t xml:space="preserve"> Crétinine sanguine au début du traitement </w:t>
      </w:r>
    </w:p>
    <w:p w:rsidR="00F1058A" w:rsidRDefault="00F1058A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 xml:space="preserve">- </w:t>
      </w:r>
      <w:r w:rsidR="00B00C07">
        <w:rPr>
          <w:rFonts w:cs="Cambria Math"/>
        </w:rPr>
        <w:t xml:space="preserve">Toux </w:t>
      </w:r>
      <w:r w:rsidR="00B00C07" w:rsidRPr="00B00C07">
        <w:rPr>
          <w:rFonts w:cs="Cambria Math"/>
        </w:rPr>
        <w:sym w:font="Wingdings" w:char="F0E0"/>
      </w:r>
      <w:r>
        <w:rPr>
          <w:rFonts w:cs="Cambria Math"/>
        </w:rPr>
        <w:t xml:space="preserve"> Bradykinine irrite le nerf vague</w:t>
      </w:r>
    </w:p>
    <w:p w:rsidR="00A82A8E" w:rsidRDefault="00A82A8E" w:rsidP="00731FCD">
      <w:pPr>
        <w:spacing w:after="0" w:line="360" w:lineRule="auto"/>
        <w:rPr>
          <w:rFonts w:cs="Cambria Math"/>
        </w:rPr>
      </w:pPr>
      <w:r w:rsidRPr="00A82A8E">
        <w:rPr>
          <w:rFonts w:cs="Cambria Math"/>
          <w:b/>
          <w:bCs/>
        </w:rPr>
        <w:t>- Captopril</w:t>
      </w:r>
      <w:r>
        <w:rPr>
          <w:rFonts w:cs="Cambria Math"/>
          <w:b/>
          <w:bCs/>
        </w:rPr>
        <w:t> :</w:t>
      </w:r>
      <w:r>
        <w:rPr>
          <w:rFonts w:cs="Cambria Math"/>
        </w:rPr>
        <w:t xml:space="preserve"> Réaction cutanée – Syndrome néphrotique – Neutropénie</w:t>
      </w:r>
    </w:p>
    <w:p w:rsidR="00A82A8E" w:rsidRPr="00A82A8E" w:rsidRDefault="00A82A8E" w:rsidP="00731FCD">
      <w:pPr>
        <w:spacing w:after="0" w:line="360" w:lineRule="auto"/>
        <w:rPr>
          <w:rFonts w:cs="Cambria Math"/>
        </w:rPr>
      </w:pPr>
    </w:p>
    <w:p w:rsidR="00FF1358" w:rsidRDefault="000E4338" w:rsidP="00731FCD">
      <w:pPr>
        <w:spacing w:after="0" w:line="360" w:lineRule="auto"/>
        <w:rPr>
          <w:rFonts w:cs="Cambria Math"/>
        </w:rPr>
      </w:pPr>
      <w:r w:rsidRPr="000E4338">
        <w:rPr>
          <w:rFonts w:cs="Cambria Math"/>
          <w:b/>
          <w:bCs/>
          <w:noProof/>
          <w:lang w:eastAsia="fr-FR"/>
        </w:rPr>
        <w:pict>
          <v:shape id="_x0000_s1027" type="#_x0000_t202" style="position:absolute;margin-left:99.95pt;margin-top:6.15pt;width:290.7pt;height:54.3pt;z-index:2516623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">
            <v:textbox style="mso-fit-shape-to-text:t">
              <w:txbxContent>
                <w:p w:rsidR="004F3D09" w:rsidRPr="000030D3" w:rsidRDefault="00F1058A" w:rsidP="004F3D09">
                  <w:pPr>
                    <w:spacing w:after="0"/>
                    <w:rPr>
                      <w:b/>
                      <w:bCs/>
                    </w:rPr>
                  </w:pPr>
                  <w:r w:rsidRPr="000030D3">
                    <w:rPr>
                      <w:b/>
                      <w:bCs/>
                    </w:rPr>
                    <w:t xml:space="preserve">Aldostérone stimule la formation </w:t>
                  </w:r>
                  <w:r w:rsidR="004F3D09" w:rsidRPr="000030D3">
                    <w:rPr>
                      <w:b/>
                      <w:bCs/>
                    </w:rPr>
                    <w:t>de la fibrose myocardique</w:t>
                  </w:r>
                </w:p>
                <w:p w:rsidR="004F3D09" w:rsidRPr="000030D3" w:rsidRDefault="000030D3" w:rsidP="004F3D09">
                  <w:pPr>
                    <w:spacing w:after="0"/>
                  </w:pPr>
                  <w:r>
                    <w:t xml:space="preserve">- </w:t>
                  </w:r>
                  <w:r w:rsidR="004F3D09" w:rsidRPr="000030D3">
                    <w:t>En post-IDM : on donne IEC</w:t>
                  </w:r>
                </w:p>
                <w:p w:rsidR="004F3D09" w:rsidRPr="000030D3" w:rsidRDefault="000030D3" w:rsidP="004F3D09">
                  <w:pPr>
                    <w:spacing w:after="0"/>
                  </w:pPr>
                  <w:r>
                    <w:t xml:space="preserve">- </w:t>
                  </w:r>
                  <w:r w:rsidR="004F3D09" w:rsidRPr="000030D3">
                    <w:t xml:space="preserve">Dans l’IC chronique : </w:t>
                  </w:r>
                  <w:r w:rsidR="00FF1358" w:rsidRPr="000030D3">
                    <w:t xml:space="preserve">on donne </w:t>
                  </w:r>
                  <w:r w:rsidR="004F3D09" w:rsidRPr="000030D3">
                    <w:t>IEC et spironolactone</w:t>
                  </w:r>
                </w:p>
              </w:txbxContent>
            </v:textbox>
          </v:shape>
        </w:pict>
      </w:r>
    </w:p>
    <w:p w:rsidR="00FF1358" w:rsidRDefault="00FF1358" w:rsidP="00731FCD">
      <w:pPr>
        <w:spacing w:after="0" w:line="360" w:lineRule="auto"/>
        <w:rPr>
          <w:rFonts w:cs="Cambria Math"/>
        </w:rPr>
      </w:pPr>
    </w:p>
    <w:p w:rsidR="00B00C07" w:rsidRDefault="00B00C07" w:rsidP="00731FCD">
      <w:pPr>
        <w:spacing w:after="0" w:line="360" w:lineRule="auto"/>
        <w:rPr>
          <w:rFonts w:cs="Cambria Math"/>
        </w:rPr>
      </w:pPr>
    </w:p>
    <w:p w:rsidR="00FF1358" w:rsidRDefault="00FF1358" w:rsidP="00731FCD">
      <w:pPr>
        <w:spacing w:after="0" w:line="360" w:lineRule="auto"/>
        <w:rPr>
          <w:rFonts w:cs="Cambria Math"/>
        </w:rPr>
      </w:pPr>
    </w:p>
    <w:p w:rsidR="00FF6B93" w:rsidRPr="00FF6B93" w:rsidRDefault="00FF6B93" w:rsidP="00731FCD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F6B93">
        <w:rPr>
          <w:b/>
          <w:bCs/>
          <w:sz w:val="28"/>
          <w:szCs w:val="28"/>
          <w:u w:val="single"/>
        </w:rPr>
        <w:t>ANTAGONISTE DES RECEPTEURS DE L'ANGIOTENSINE II</w:t>
      </w:r>
    </w:p>
    <w:p w:rsidR="00FF1358" w:rsidRDefault="00022A28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>Les mêmes indications, contre-indications et effets secondaires que les IEC</w:t>
      </w:r>
    </w:p>
    <w:p w:rsidR="00022A28" w:rsidRDefault="00830379" w:rsidP="00731FCD">
      <w:pPr>
        <w:spacing w:after="0" w:line="360" w:lineRule="auto"/>
        <w:rPr>
          <w:rFonts w:cs="Cambria Math"/>
        </w:rPr>
      </w:pPr>
      <w:r>
        <w:rPr>
          <w:rFonts w:cs="Cambria Math"/>
        </w:rPr>
        <w:t>Œdème angio-neurotique et toux sont rare</w:t>
      </w:r>
    </w:p>
    <w:p w:rsidR="00830379" w:rsidRDefault="000E4338" w:rsidP="00731FCD">
      <w:pPr>
        <w:spacing w:after="0" w:line="360" w:lineRule="auto"/>
        <w:rPr>
          <w:rFonts w:cs="Cambria Math"/>
        </w:rPr>
      </w:pPr>
      <w:r w:rsidRPr="000E4338">
        <w:rPr>
          <w:noProof/>
          <w:lang w:eastAsia="fr-FR"/>
        </w:rPr>
        <w:pict>
          <v:shape id="_x0000_s1028" type="#_x0000_t202" style="position:absolute;margin-left:36.9pt;margin-top:10.85pt;width:459.15pt;height:40.1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">
            <v:textbox>
              <w:txbxContent>
                <w:p w:rsidR="00860065" w:rsidRDefault="00860065" w:rsidP="00D010F2">
                  <w:pPr>
                    <w:spacing w:after="0"/>
                    <w:rPr>
                      <w:rFonts w:cs="Cambria Math"/>
                    </w:rPr>
                  </w:pPr>
                  <w:r>
                    <w:t xml:space="preserve">Les vasodilatateurs artériels et mixtes </w:t>
                  </w:r>
                  <w:r>
                    <w:sym w:font="Wingdings" w:char="F0E0"/>
                  </w:r>
                  <w:r w:rsidRPr="00386BAA">
                    <w:rPr>
                      <w:rFonts w:cs="Cambria Math"/>
                    </w:rPr>
                    <w:t>↘</w:t>
                  </w:r>
                  <w:r>
                    <w:rPr>
                      <w:rFonts w:cs="Cambria Math"/>
                    </w:rPr>
                    <w:t xml:space="preserve"> Résistances vasculaires </w:t>
                  </w:r>
                  <w:r w:rsidRPr="003B1B4D">
                    <w:rPr>
                      <w:rFonts w:cs="Cambria Math"/>
                    </w:rPr>
                    <w:sym w:font="Wingdings" w:char="F0E0"/>
                  </w:r>
                  <w:r w:rsidRPr="00386BAA">
                    <w:rPr>
                      <w:rFonts w:cs="Cambria Math"/>
                    </w:rPr>
                    <w:t>↘</w:t>
                  </w:r>
                  <w:r>
                    <w:rPr>
                      <w:rFonts w:cs="Cambria Math"/>
                    </w:rPr>
                    <w:t xml:space="preserve"> Post-charge </w:t>
                  </w:r>
                  <w:r w:rsidRPr="003B1B4D">
                    <w:rPr>
                      <w:rFonts w:cs="Cambria Math"/>
                    </w:rPr>
                    <w:sym w:font="Wingdings" w:char="F0E0"/>
                  </w:r>
                  <w:r w:rsidRPr="00D11AB0">
                    <w:rPr>
                      <w:rFonts w:cs="Cambria Math"/>
                    </w:rPr>
                    <w:t>↗</w:t>
                  </w:r>
                  <w:r>
                    <w:rPr>
                      <w:rFonts w:cs="Cambria Math"/>
                    </w:rPr>
                    <w:t xml:space="preserve"> Débit</w:t>
                  </w:r>
                </w:p>
                <w:p w:rsidR="00860065" w:rsidRDefault="00860065" w:rsidP="00D010F2">
                  <w:pPr>
                    <w:spacing w:after="0"/>
                    <w:rPr>
                      <w:rFonts w:cs="Cambria Math"/>
                    </w:rPr>
                  </w:pPr>
                  <w:r>
                    <w:t>Les vasodilatateurs veineux</w:t>
                  </w:r>
                  <w:r>
                    <w:sym w:font="Wingdings" w:char="F0E0"/>
                  </w:r>
                  <w:r w:rsidRPr="00386BAA">
                    <w:rPr>
                      <w:rFonts w:cs="Cambria Math"/>
                    </w:rPr>
                    <w:t>↘</w:t>
                  </w:r>
                  <w:r>
                    <w:rPr>
                      <w:rFonts w:cs="Cambria Math"/>
                    </w:rPr>
                    <w:t xml:space="preserve"> Pré-charge </w:t>
                  </w:r>
                  <w:r w:rsidRPr="003B1B4D">
                    <w:rPr>
                      <w:rFonts w:cs="Cambria Math"/>
                    </w:rPr>
                    <w:sym w:font="Wingdings" w:char="F0E0"/>
                  </w:r>
                  <w:r w:rsidR="00D010F2">
                    <w:rPr>
                      <w:rFonts w:cs="Cambria Math"/>
                    </w:rPr>
                    <w:t>Bonne</w:t>
                  </w:r>
                  <w:r w:rsidR="00713432">
                    <w:rPr>
                      <w:rFonts w:cs="Cambria Math"/>
                    </w:rPr>
                    <w:t xml:space="preserve"> dose : pas de </w:t>
                  </w:r>
                  <w:r w:rsidR="00713432" w:rsidRPr="00386BAA">
                    <w:rPr>
                      <w:rFonts w:cs="Cambria Math"/>
                    </w:rPr>
                    <w:t>↘</w:t>
                  </w:r>
                  <w:r w:rsidR="00D010F2">
                    <w:rPr>
                      <w:rFonts w:cs="Cambria Math"/>
                    </w:rPr>
                    <w:t xml:space="preserve"> significative de débit</w:t>
                  </w:r>
                </w:p>
                <w:p w:rsidR="00860065" w:rsidRDefault="00860065" w:rsidP="00860065"/>
              </w:txbxContent>
            </v:textbox>
          </v:shape>
        </w:pict>
      </w:r>
    </w:p>
    <w:p w:rsidR="00860065" w:rsidRPr="00022A28" w:rsidRDefault="00860065" w:rsidP="00731FCD">
      <w:pPr>
        <w:spacing w:after="0" w:line="360" w:lineRule="auto"/>
        <w:rPr>
          <w:rFonts w:cs="Cambria Math"/>
        </w:rPr>
      </w:pPr>
    </w:p>
    <w:sectPr w:rsidR="00860065" w:rsidRPr="00022A28" w:rsidSect="001354B5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767" w:rsidRDefault="00630767" w:rsidP="00A86459">
      <w:pPr>
        <w:spacing w:after="0" w:line="240" w:lineRule="auto"/>
      </w:pPr>
      <w:r>
        <w:separator/>
      </w:r>
    </w:p>
  </w:endnote>
  <w:endnote w:type="continuationSeparator" w:id="1">
    <w:p w:rsidR="00630767" w:rsidRDefault="0063076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767" w:rsidRDefault="00630767" w:rsidP="00A86459">
      <w:pPr>
        <w:spacing w:after="0" w:line="240" w:lineRule="auto"/>
      </w:pPr>
      <w:r>
        <w:separator/>
      </w:r>
    </w:p>
  </w:footnote>
  <w:footnote w:type="continuationSeparator" w:id="1">
    <w:p w:rsidR="00630767" w:rsidRDefault="0063076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10F"/>
    <w:rsid w:val="00001353"/>
    <w:rsid w:val="00001729"/>
    <w:rsid w:val="000026FF"/>
    <w:rsid w:val="00002CA1"/>
    <w:rsid w:val="000030D3"/>
    <w:rsid w:val="00004ECF"/>
    <w:rsid w:val="000054E3"/>
    <w:rsid w:val="00010758"/>
    <w:rsid w:val="0001285E"/>
    <w:rsid w:val="00014656"/>
    <w:rsid w:val="00020B43"/>
    <w:rsid w:val="000223ED"/>
    <w:rsid w:val="00022A28"/>
    <w:rsid w:val="00023BFD"/>
    <w:rsid w:val="000255A6"/>
    <w:rsid w:val="00026624"/>
    <w:rsid w:val="00030128"/>
    <w:rsid w:val="00032503"/>
    <w:rsid w:val="00034E92"/>
    <w:rsid w:val="00044BC4"/>
    <w:rsid w:val="00047C2E"/>
    <w:rsid w:val="00047C8F"/>
    <w:rsid w:val="00050CA3"/>
    <w:rsid w:val="000522C8"/>
    <w:rsid w:val="00053E05"/>
    <w:rsid w:val="00053E62"/>
    <w:rsid w:val="000562BC"/>
    <w:rsid w:val="00056607"/>
    <w:rsid w:val="000569BE"/>
    <w:rsid w:val="0006122F"/>
    <w:rsid w:val="00061BF4"/>
    <w:rsid w:val="000622B4"/>
    <w:rsid w:val="0006340D"/>
    <w:rsid w:val="00070856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0C21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1F89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6926"/>
    <w:rsid w:val="000D7C84"/>
    <w:rsid w:val="000E4338"/>
    <w:rsid w:val="000E49E2"/>
    <w:rsid w:val="000E6407"/>
    <w:rsid w:val="000E7C3C"/>
    <w:rsid w:val="000F1F11"/>
    <w:rsid w:val="000F4D3C"/>
    <w:rsid w:val="000F6160"/>
    <w:rsid w:val="000F7E85"/>
    <w:rsid w:val="001023AC"/>
    <w:rsid w:val="0010290E"/>
    <w:rsid w:val="001030C3"/>
    <w:rsid w:val="001123B3"/>
    <w:rsid w:val="001135FA"/>
    <w:rsid w:val="00114573"/>
    <w:rsid w:val="001168ED"/>
    <w:rsid w:val="001249F2"/>
    <w:rsid w:val="00130552"/>
    <w:rsid w:val="00130B13"/>
    <w:rsid w:val="001354B5"/>
    <w:rsid w:val="00135929"/>
    <w:rsid w:val="00135C50"/>
    <w:rsid w:val="00136D0A"/>
    <w:rsid w:val="00150596"/>
    <w:rsid w:val="00152EE6"/>
    <w:rsid w:val="0016020A"/>
    <w:rsid w:val="00161CEF"/>
    <w:rsid w:val="00163CC3"/>
    <w:rsid w:val="00163F37"/>
    <w:rsid w:val="001644F0"/>
    <w:rsid w:val="0016462B"/>
    <w:rsid w:val="00165277"/>
    <w:rsid w:val="001664CB"/>
    <w:rsid w:val="0017789E"/>
    <w:rsid w:val="00180937"/>
    <w:rsid w:val="00180AA0"/>
    <w:rsid w:val="00180C89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E7E3E"/>
    <w:rsid w:val="001F0252"/>
    <w:rsid w:val="001F161E"/>
    <w:rsid w:val="001F2899"/>
    <w:rsid w:val="001F3BF3"/>
    <w:rsid w:val="001F58FA"/>
    <w:rsid w:val="001F5AAF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35E89"/>
    <w:rsid w:val="00241906"/>
    <w:rsid w:val="00241E74"/>
    <w:rsid w:val="002468B4"/>
    <w:rsid w:val="002477C7"/>
    <w:rsid w:val="0025369D"/>
    <w:rsid w:val="00254C7E"/>
    <w:rsid w:val="00254D2A"/>
    <w:rsid w:val="00255E95"/>
    <w:rsid w:val="00257345"/>
    <w:rsid w:val="00260530"/>
    <w:rsid w:val="002613C2"/>
    <w:rsid w:val="0026283C"/>
    <w:rsid w:val="00266A17"/>
    <w:rsid w:val="00267A18"/>
    <w:rsid w:val="00267BCA"/>
    <w:rsid w:val="00270E8D"/>
    <w:rsid w:val="002743A4"/>
    <w:rsid w:val="00274CC3"/>
    <w:rsid w:val="00275FD8"/>
    <w:rsid w:val="002763F1"/>
    <w:rsid w:val="00280864"/>
    <w:rsid w:val="00280E2C"/>
    <w:rsid w:val="00281330"/>
    <w:rsid w:val="00281A1E"/>
    <w:rsid w:val="00286A48"/>
    <w:rsid w:val="00287676"/>
    <w:rsid w:val="00287D64"/>
    <w:rsid w:val="00290844"/>
    <w:rsid w:val="00291EFD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490"/>
    <w:rsid w:val="002C01D0"/>
    <w:rsid w:val="002C11A9"/>
    <w:rsid w:val="002C32A0"/>
    <w:rsid w:val="002C3FB6"/>
    <w:rsid w:val="002C443D"/>
    <w:rsid w:val="002D4ABF"/>
    <w:rsid w:val="002D6182"/>
    <w:rsid w:val="002E2FB0"/>
    <w:rsid w:val="002E3D2A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0E21"/>
    <w:rsid w:val="0030170C"/>
    <w:rsid w:val="00301BE7"/>
    <w:rsid w:val="00311927"/>
    <w:rsid w:val="0031260B"/>
    <w:rsid w:val="00313F56"/>
    <w:rsid w:val="003164CE"/>
    <w:rsid w:val="00317488"/>
    <w:rsid w:val="003207E8"/>
    <w:rsid w:val="00321284"/>
    <w:rsid w:val="00324FAD"/>
    <w:rsid w:val="00330197"/>
    <w:rsid w:val="00330CCA"/>
    <w:rsid w:val="00331D02"/>
    <w:rsid w:val="003324DD"/>
    <w:rsid w:val="00332963"/>
    <w:rsid w:val="00333EEA"/>
    <w:rsid w:val="00334EBA"/>
    <w:rsid w:val="0034106A"/>
    <w:rsid w:val="003470AF"/>
    <w:rsid w:val="00351464"/>
    <w:rsid w:val="003514C1"/>
    <w:rsid w:val="0035217E"/>
    <w:rsid w:val="00354426"/>
    <w:rsid w:val="0035694A"/>
    <w:rsid w:val="003572C5"/>
    <w:rsid w:val="00357537"/>
    <w:rsid w:val="0036032D"/>
    <w:rsid w:val="00360AF3"/>
    <w:rsid w:val="00362297"/>
    <w:rsid w:val="0036550B"/>
    <w:rsid w:val="003715F3"/>
    <w:rsid w:val="0037255C"/>
    <w:rsid w:val="00375986"/>
    <w:rsid w:val="003760E6"/>
    <w:rsid w:val="00376FA1"/>
    <w:rsid w:val="00381075"/>
    <w:rsid w:val="003811CB"/>
    <w:rsid w:val="00382CB8"/>
    <w:rsid w:val="003866DD"/>
    <w:rsid w:val="00386BAA"/>
    <w:rsid w:val="003877E4"/>
    <w:rsid w:val="00392255"/>
    <w:rsid w:val="003951C5"/>
    <w:rsid w:val="0039662E"/>
    <w:rsid w:val="00397862"/>
    <w:rsid w:val="003A28D9"/>
    <w:rsid w:val="003A3A6C"/>
    <w:rsid w:val="003A4C55"/>
    <w:rsid w:val="003A5719"/>
    <w:rsid w:val="003B1B4D"/>
    <w:rsid w:val="003B539A"/>
    <w:rsid w:val="003B5CC4"/>
    <w:rsid w:val="003B787C"/>
    <w:rsid w:val="003C0183"/>
    <w:rsid w:val="003C1418"/>
    <w:rsid w:val="003C2C0F"/>
    <w:rsid w:val="003C2C10"/>
    <w:rsid w:val="003C403F"/>
    <w:rsid w:val="003C46E5"/>
    <w:rsid w:val="003C672C"/>
    <w:rsid w:val="003C67B2"/>
    <w:rsid w:val="003C73C4"/>
    <w:rsid w:val="003D2C59"/>
    <w:rsid w:val="003E304A"/>
    <w:rsid w:val="003E39C8"/>
    <w:rsid w:val="003E3FBB"/>
    <w:rsid w:val="003E6290"/>
    <w:rsid w:val="003E7609"/>
    <w:rsid w:val="003E7921"/>
    <w:rsid w:val="003E7CB6"/>
    <w:rsid w:val="003F48F9"/>
    <w:rsid w:val="003F4ADF"/>
    <w:rsid w:val="003F57FA"/>
    <w:rsid w:val="003F678A"/>
    <w:rsid w:val="003F6A19"/>
    <w:rsid w:val="003F74D4"/>
    <w:rsid w:val="00405E29"/>
    <w:rsid w:val="00405F91"/>
    <w:rsid w:val="00411919"/>
    <w:rsid w:val="00411A52"/>
    <w:rsid w:val="00411BF2"/>
    <w:rsid w:val="00411DA1"/>
    <w:rsid w:val="00412FBA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30BF"/>
    <w:rsid w:val="0044678C"/>
    <w:rsid w:val="00446E65"/>
    <w:rsid w:val="0044779E"/>
    <w:rsid w:val="00447FB6"/>
    <w:rsid w:val="00450436"/>
    <w:rsid w:val="004553B2"/>
    <w:rsid w:val="004554C4"/>
    <w:rsid w:val="004556CA"/>
    <w:rsid w:val="004563E7"/>
    <w:rsid w:val="00460E7F"/>
    <w:rsid w:val="00461528"/>
    <w:rsid w:val="00461DEB"/>
    <w:rsid w:val="00471C9F"/>
    <w:rsid w:val="004756F9"/>
    <w:rsid w:val="00476279"/>
    <w:rsid w:val="00477976"/>
    <w:rsid w:val="004803C6"/>
    <w:rsid w:val="004824DB"/>
    <w:rsid w:val="004846C3"/>
    <w:rsid w:val="00485141"/>
    <w:rsid w:val="00491A6A"/>
    <w:rsid w:val="00493520"/>
    <w:rsid w:val="004A1870"/>
    <w:rsid w:val="004A1BCC"/>
    <w:rsid w:val="004A4264"/>
    <w:rsid w:val="004A7407"/>
    <w:rsid w:val="004A7969"/>
    <w:rsid w:val="004B00FF"/>
    <w:rsid w:val="004B1834"/>
    <w:rsid w:val="004B1A1C"/>
    <w:rsid w:val="004B2876"/>
    <w:rsid w:val="004B4AD0"/>
    <w:rsid w:val="004C4156"/>
    <w:rsid w:val="004C5FCD"/>
    <w:rsid w:val="004D1A48"/>
    <w:rsid w:val="004D637E"/>
    <w:rsid w:val="004D721C"/>
    <w:rsid w:val="004E0ECB"/>
    <w:rsid w:val="004E585F"/>
    <w:rsid w:val="004F00AB"/>
    <w:rsid w:val="004F010A"/>
    <w:rsid w:val="004F28C2"/>
    <w:rsid w:val="004F367B"/>
    <w:rsid w:val="004F3D09"/>
    <w:rsid w:val="00502F9A"/>
    <w:rsid w:val="00503DEC"/>
    <w:rsid w:val="005044DA"/>
    <w:rsid w:val="005108FC"/>
    <w:rsid w:val="00512FA0"/>
    <w:rsid w:val="0051626F"/>
    <w:rsid w:val="005162AA"/>
    <w:rsid w:val="00517C7D"/>
    <w:rsid w:val="0052388F"/>
    <w:rsid w:val="0052516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60D5"/>
    <w:rsid w:val="0054755B"/>
    <w:rsid w:val="00551229"/>
    <w:rsid w:val="00551E2C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1C0"/>
    <w:rsid w:val="00572A4F"/>
    <w:rsid w:val="00577BD4"/>
    <w:rsid w:val="005839E6"/>
    <w:rsid w:val="00587881"/>
    <w:rsid w:val="00592E0D"/>
    <w:rsid w:val="00593AD4"/>
    <w:rsid w:val="00596083"/>
    <w:rsid w:val="005964BF"/>
    <w:rsid w:val="0059685F"/>
    <w:rsid w:val="005973D8"/>
    <w:rsid w:val="00597661"/>
    <w:rsid w:val="005A05F5"/>
    <w:rsid w:val="005A1A0F"/>
    <w:rsid w:val="005A2CEC"/>
    <w:rsid w:val="005A370D"/>
    <w:rsid w:val="005A6267"/>
    <w:rsid w:val="005A6D0E"/>
    <w:rsid w:val="005B02ED"/>
    <w:rsid w:val="005B0C7A"/>
    <w:rsid w:val="005B1603"/>
    <w:rsid w:val="005B426E"/>
    <w:rsid w:val="005B4604"/>
    <w:rsid w:val="005B55DA"/>
    <w:rsid w:val="005B788F"/>
    <w:rsid w:val="005C1395"/>
    <w:rsid w:val="005C1444"/>
    <w:rsid w:val="005C32D3"/>
    <w:rsid w:val="005C6672"/>
    <w:rsid w:val="005C7C00"/>
    <w:rsid w:val="005D2BAF"/>
    <w:rsid w:val="005D384B"/>
    <w:rsid w:val="005D3E4E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E7A6F"/>
    <w:rsid w:val="005F0687"/>
    <w:rsid w:val="005F17F2"/>
    <w:rsid w:val="005F7FA9"/>
    <w:rsid w:val="0060279D"/>
    <w:rsid w:val="00604894"/>
    <w:rsid w:val="006109C6"/>
    <w:rsid w:val="00615325"/>
    <w:rsid w:val="006169CD"/>
    <w:rsid w:val="00616C5F"/>
    <w:rsid w:val="006176E7"/>
    <w:rsid w:val="00620A36"/>
    <w:rsid w:val="0062524E"/>
    <w:rsid w:val="00625418"/>
    <w:rsid w:val="00630767"/>
    <w:rsid w:val="0063406C"/>
    <w:rsid w:val="00637445"/>
    <w:rsid w:val="0063785A"/>
    <w:rsid w:val="006406CA"/>
    <w:rsid w:val="00640E14"/>
    <w:rsid w:val="00640F0F"/>
    <w:rsid w:val="0064424B"/>
    <w:rsid w:val="0064676B"/>
    <w:rsid w:val="00647053"/>
    <w:rsid w:val="00647A08"/>
    <w:rsid w:val="00650AB5"/>
    <w:rsid w:val="006553BA"/>
    <w:rsid w:val="006554B1"/>
    <w:rsid w:val="006570F9"/>
    <w:rsid w:val="00660C1E"/>
    <w:rsid w:val="006617E4"/>
    <w:rsid w:val="00671239"/>
    <w:rsid w:val="00671BEA"/>
    <w:rsid w:val="006726A5"/>
    <w:rsid w:val="00673123"/>
    <w:rsid w:val="00676AB4"/>
    <w:rsid w:val="00677842"/>
    <w:rsid w:val="00677A7D"/>
    <w:rsid w:val="006810D5"/>
    <w:rsid w:val="00681BBC"/>
    <w:rsid w:val="006845DE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7F6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300B"/>
    <w:rsid w:val="006F33CD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3432"/>
    <w:rsid w:val="00717354"/>
    <w:rsid w:val="00717ABF"/>
    <w:rsid w:val="00731FCD"/>
    <w:rsid w:val="00733838"/>
    <w:rsid w:val="00733DEF"/>
    <w:rsid w:val="00734DF6"/>
    <w:rsid w:val="00737955"/>
    <w:rsid w:val="00737D6C"/>
    <w:rsid w:val="0074198D"/>
    <w:rsid w:val="00743B75"/>
    <w:rsid w:val="007450E0"/>
    <w:rsid w:val="00757FF3"/>
    <w:rsid w:val="00763384"/>
    <w:rsid w:val="00764CAC"/>
    <w:rsid w:val="007657FF"/>
    <w:rsid w:val="00766A4E"/>
    <w:rsid w:val="00767F4E"/>
    <w:rsid w:val="0077084F"/>
    <w:rsid w:val="00770B91"/>
    <w:rsid w:val="0078399D"/>
    <w:rsid w:val="00785BC1"/>
    <w:rsid w:val="007902D3"/>
    <w:rsid w:val="00791CC5"/>
    <w:rsid w:val="007921EB"/>
    <w:rsid w:val="007923E9"/>
    <w:rsid w:val="00792772"/>
    <w:rsid w:val="00793318"/>
    <w:rsid w:val="00793A52"/>
    <w:rsid w:val="00793FE5"/>
    <w:rsid w:val="0079465A"/>
    <w:rsid w:val="00795B28"/>
    <w:rsid w:val="007A36E3"/>
    <w:rsid w:val="007A382E"/>
    <w:rsid w:val="007B6144"/>
    <w:rsid w:val="007C39EB"/>
    <w:rsid w:val="007C5AC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1DCA"/>
    <w:rsid w:val="00812393"/>
    <w:rsid w:val="00812620"/>
    <w:rsid w:val="00812E9F"/>
    <w:rsid w:val="0081611E"/>
    <w:rsid w:val="00817FD7"/>
    <w:rsid w:val="0082055B"/>
    <w:rsid w:val="0082280D"/>
    <w:rsid w:val="0082308F"/>
    <w:rsid w:val="00823661"/>
    <w:rsid w:val="008277C7"/>
    <w:rsid w:val="00830379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C9B"/>
    <w:rsid w:val="00843F52"/>
    <w:rsid w:val="0084600B"/>
    <w:rsid w:val="00846D3E"/>
    <w:rsid w:val="0084758A"/>
    <w:rsid w:val="0085055B"/>
    <w:rsid w:val="008555B5"/>
    <w:rsid w:val="0085654F"/>
    <w:rsid w:val="00860065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137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1B37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12B"/>
    <w:rsid w:val="009172C2"/>
    <w:rsid w:val="009200FA"/>
    <w:rsid w:val="009305B7"/>
    <w:rsid w:val="00931293"/>
    <w:rsid w:val="0093496C"/>
    <w:rsid w:val="00934FF5"/>
    <w:rsid w:val="009359C0"/>
    <w:rsid w:val="00935A65"/>
    <w:rsid w:val="009457D7"/>
    <w:rsid w:val="0094755C"/>
    <w:rsid w:val="009510E1"/>
    <w:rsid w:val="00951B65"/>
    <w:rsid w:val="009564F7"/>
    <w:rsid w:val="009577B1"/>
    <w:rsid w:val="0096224C"/>
    <w:rsid w:val="00965566"/>
    <w:rsid w:val="00970A6F"/>
    <w:rsid w:val="00972FAE"/>
    <w:rsid w:val="00973592"/>
    <w:rsid w:val="0097399E"/>
    <w:rsid w:val="00973BB1"/>
    <w:rsid w:val="009767D9"/>
    <w:rsid w:val="00976F9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64E"/>
    <w:rsid w:val="00997779"/>
    <w:rsid w:val="009A502A"/>
    <w:rsid w:val="009B1A76"/>
    <w:rsid w:val="009B270A"/>
    <w:rsid w:val="009B3880"/>
    <w:rsid w:val="009B6266"/>
    <w:rsid w:val="009C0E43"/>
    <w:rsid w:val="009C192A"/>
    <w:rsid w:val="009C3950"/>
    <w:rsid w:val="009C5C99"/>
    <w:rsid w:val="009C7354"/>
    <w:rsid w:val="009C789A"/>
    <w:rsid w:val="009D0EF6"/>
    <w:rsid w:val="009D1341"/>
    <w:rsid w:val="009D40B1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1C97"/>
    <w:rsid w:val="00A22FCD"/>
    <w:rsid w:val="00A2645D"/>
    <w:rsid w:val="00A267EF"/>
    <w:rsid w:val="00A3168C"/>
    <w:rsid w:val="00A32C27"/>
    <w:rsid w:val="00A35ABF"/>
    <w:rsid w:val="00A35FE3"/>
    <w:rsid w:val="00A36ED7"/>
    <w:rsid w:val="00A376AF"/>
    <w:rsid w:val="00A45BEA"/>
    <w:rsid w:val="00A513F4"/>
    <w:rsid w:val="00A53F07"/>
    <w:rsid w:val="00A5462C"/>
    <w:rsid w:val="00A54C80"/>
    <w:rsid w:val="00A54FD5"/>
    <w:rsid w:val="00A56BF0"/>
    <w:rsid w:val="00A57065"/>
    <w:rsid w:val="00A57365"/>
    <w:rsid w:val="00A617E1"/>
    <w:rsid w:val="00A62344"/>
    <w:rsid w:val="00A63415"/>
    <w:rsid w:val="00A64AF6"/>
    <w:rsid w:val="00A70DAB"/>
    <w:rsid w:val="00A71D06"/>
    <w:rsid w:val="00A72376"/>
    <w:rsid w:val="00A74568"/>
    <w:rsid w:val="00A76040"/>
    <w:rsid w:val="00A776B3"/>
    <w:rsid w:val="00A81FA2"/>
    <w:rsid w:val="00A82A8E"/>
    <w:rsid w:val="00A85A5B"/>
    <w:rsid w:val="00A86459"/>
    <w:rsid w:val="00A87874"/>
    <w:rsid w:val="00A9504C"/>
    <w:rsid w:val="00A95E0A"/>
    <w:rsid w:val="00AA062F"/>
    <w:rsid w:val="00AA1A06"/>
    <w:rsid w:val="00AA1BDF"/>
    <w:rsid w:val="00AA2119"/>
    <w:rsid w:val="00AA3E0E"/>
    <w:rsid w:val="00AA51A4"/>
    <w:rsid w:val="00AA5CCB"/>
    <w:rsid w:val="00AA6FAC"/>
    <w:rsid w:val="00AA7620"/>
    <w:rsid w:val="00AA7773"/>
    <w:rsid w:val="00AA78C4"/>
    <w:rsid w:val="00AB1F94"/>
    <w:rsid w:val="00AC4ADB"/>
    <w:rsid w:val="00AC5C5E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E689F"/>
    <w:rsid w:val="00AF40AC"/>
    <w:rsid w:val="00B00C07"/>
    <w:rsid w:val="00B11B60"/>
    <w:rsid w:val="00B123D4"/>
    <w:rsid w:val="00B12697"/>
    <w:rsid w:val="00B132A6"/>
    <w:rsid w:val="00B15F9B"/>
    <w:rsid w:val="00B176BA"/>
    <w:rsid w:val="00B17F37"/>
    <w:rsid w:val="00B17FEE"/>
    <w:rsid w:val="00B218B6"/>
    <w:rsid w:val="00B22237"/>
    <w:rsid w:val="00B245D6"/>
    <w:rsid w:val="00B26323"/>
    <w:rsid w:val="00B263E8"/>
    <w:rsid w:val="00B27E18"/>
    <w:rsid w:val="00B314EC"/>
    <w:rsid w:val="00B33232"/>
    <w:rsid w:val="00B379AD"/>
    <w:rsid w:val="00B42236"/>
    <w:rsid w:val="00B42871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A6F"/>
    <w:rsid w:val="00B71CE1"/>
    <w:rsid w:val="00B779F1"/>
    <w:rsid w:val="00B83FDE"/>
    <w:rsid w:val="00B84295"/>
    <w:rsid w:val="00B862C3"/>
    <w:rsid w:val="00B873A6"/>
    <w:rsid w:val="00B87D98"/>
    <w:rsid w:val="00B90A99"/>
    <w:rsid w:val="00B912BE"/>
    <w:rsid w:val="00B912DF"/>
    <w:rsid w:val="00B91F42"/>
    <w:rsid w:val="00B972CB"/>
    <w:rsid w:val="00BA20F2"/>
    <w:rsid w:val="00BA2462"/>
    <w:rsid w:val="00BA2A3C"/>
    <w:rsid w:val="00BA5A21"/>
    <w:rsid w:val="00BA6D38"/>
    <w:rsid w:val="00BA7C23"/>
    <w:rsid w:val="00BB2604"/>
    <w:rsid w:val="00BB2D10"/>
    <w:rsid w:val="00BB579D"/>
    <w:rsid w:val="00BB5E6A"/>
    <w:rsid w:val="00BB6E62"/>
    <w:rsid w:val="00BB7F31"/>
    <w:rsid w:val="00BC2279"/>
    <w:rsid w:val="00BC73F8"/>
    <w:rsid w:val="00BC7BC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0484F"/>
    <w:rsid w:val="00C07787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17B4"/>
    <w:rsid w:val="00C431B7"/>
    <w:rsid w:val="00C45A13"/>
    <w:rsid w:val="00C45BB8"/>
    <w:rsid w:val="00C467CF"/>
    <w:rsid w:val="00C51633"/>
    <w:rsid w:val="00C51D16"/>
    <w:rsid w:val="00C528DC"/>
    <w:rsid w:val="00C546F8"/>
    <w:rsid w:val="00C54AAD"/>
    <w:rsid w:val="00C6026E"/>
    <w:rsid w:val="00C60F7A"/>
    <w:rsid w:val="00C61BC5"/>
    <w:rsid w:val="00C6438D"/>
    <w:rsid w:val="00C74A9F"/>
    <w:rsid w:val="00C82E65"/>
    <w:rsid w:val="00C84DCA"/>
    <w:rsid w:val="00C9023F"/>
    <w:rsid w:val="00C929E2"/>
    <w:rsid w:val="00C9350B"/>
    <w:rsid w:val="00CA0022"/>
    <w:rsid w:val="00CA02E0"/>
    <w:rsid w:val="00CA1AF4"/>
    <w:rsid w:val="00CA2989"/>
    <w:rsid w:val="00CA3854"/>
    <w:rsid w:val="00CA3D56"/>
    <w:rsid w:val="00CB0C93"/>
    <w:rsid w:val="00CB29F0"/>
    <w:rsid w:val="00CB2C40"/>
    <w:rsid w:val="00CB2F87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2324"/>
    <w:rsid w:val="00CE2C1F"/>
    <w:rsid w:val="00CE6572"/>
    <w:rsid w:val="00CE6916"/>
    <w:rsid w:val="00CF1A26"/>
    <w:rsid w:val="00CF2F7D"/>
    <w:rsid w:val="00CF3D5C"/>
    <w:rsid w:val="00CF49A5"/>
    <w:rsid w:val="00CF5545"/>
    <w:rsid w:val="00CF7189"/>
    <w:rsid w:val="00D010A0"/>
    <w:rsid w:val="00D010F2"/>
    <w:rsid w:val="00D01CFF"/>
    <w:rsid w:val="00D04D9D"/>
    <w:rsid w:val="00D05983"/>
    <w:rsid w:val="00D06930"/>
    <w:rsid w:val="00D11AB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4328"/>
    <w:rsid w:val="00D46431"/>
    <w:rsid w:val="00D46548"/>
    <w:rsid w:val="00D474E8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0ED"/>
    <w:rsid w:val="00D6637A"/>
    <w:rsid w:val="00D66D11"/>
    <w:rsid w:val="00D70F10"/>
    <w:rsid w:val="00D71FB3"/>
    <w:rsid w:val="00D740AF"/>
    <w:rsid w:val="00D80697"/>
    <w:rsid w:val="00D84D87"/>
    <w:rsid w:val="00D907E0"/>
    <w:rsid w:val="00D92A2D"/>
    <w:rsid w:val="00D94275"/>
    <w:rsid w:val="00D9495F"/>
    <w:rsid w:val="00D96F7B"/>
    <w:rsid w:val="00DA2DB8"/>
    <w:rsid w:val="00DA53E9"/>
    <w:rsid w:val="00DA54E6"/>
    <w:rsid w:val="00DA71DC"/>
    <w:rsid w:val="00DB27F5"/>
    <w:rsid w:val="00DB3155"/>
    <w:rsid w:val="00DB3367"/>
    <w:rsid w:val="00DC0AFA"/>
    <w:rsid w:val="00DC0D36"/>
    <w:rsid w:val="00DC17EF"/>
    <w:rsid w:val="00DC265E"/>
    <w:rsid w:val="00DC3324"/>
    <w:rsid w:val="00DC3BD6"/>
    <w:rsid w:val="00DC46AC"/>
    <w:rsid w:val="00DC65A1"/>
    <w:rsid w:val="00DC6BE5"/>
    <w:rsid w:val="00DD00E5"/>
    <w:rsid w:val="00DD1BE9"/>
    <w:rsid w:val="00DD3E9E"/>
    <w:rsid w:val="00DD4FDC"/>
    <w:rsid w:val="00DE2C96"/>
    <w:rsid w:val="00DE3514"/>
    <w:rsid w:val="00DE42A2"/>
    <w:rsid w:val="00DE4C0F"/>
    <w:rsid w:val="00DE64ED"/>
    <w:rsid w:val="00DE6A6B"/>
    <w:rsid w:val="00DE73D9"/>
    <w:rsid w:val="00DF010A"/>
    <w:rsid w:val="00DF0F56"/>
    <w:rsid w:val="00DF37FB"/>
    <w:rsid w:val="00DF7512"/>
    <w:rsid w:val="00E007F6"/>
    <w:rsid w:val="00E020ED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2BE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455C1"/>
    <w:rsid w:val="00E53669"/>
    <w:rsid w:val="00E56DD0"/>
    <w:rsid w:val="00E57AB3"/>
    <w:rsid w:val="00E57F19"/>
    <w:rsid w:val="00E6153A"/>
    <w:rsid w:val="00E629D6"/>
    <w:rsid w:val="00E62C6A"/>
    <w:rsid w:val="00E66D35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18DE"/>
    <w:rsid w:val="00E928F3"/>
    <w:rsid w:val="00E9653F"/>
    <w:rsid w:val="00EA042A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058A"/>
    <w:rsid w:val="00F11187"/>
    <w:rsid w:val="00F119BC"/>
    <w:rsid w:val="00F13CE5"/>
    <w:rsid w:val="00F13E7C"/>
    <w:rsid w:val="00F14204"/>
    <w:rsid w:val="00F150BB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160F"/>
    <w:rsid w:val="00F5398F"/>
    <w:rsid w:val="00F54881"/>
    <w:rsid w:val="00F55FE4"/>
    <w:rsid w:val="00F61C56"/>
    <w:rsid w:val="00F6359A"/>
    <w:rsid w:val="00F63AC5"/>
    <w:rsid w:val="00F6774C"/>
    <w:rsid w:val="00F71A3A"/>
    <w:rsid w:val="00F723CC"/>
    <w:rsid w:val="00F7335A"/>
    <w:rsid w:val="00F75592"/>
    <w:rsid w:val="00F763FA"/>
    <w:rsid w:val="00F76A5A"/>
    <w:rsid w:val="00F77D16"/>
    <w:rsid w:val="00F8253B"/>
    <w:rsid w:val="00F8440A"/>
    <w:rsid w:val="00F900CB"/>
    <w:rsid w:val="00F91B35"/>
    <w:rsid w:val="00FA29A1"/>
    <w:rsid w:val="00FA50C5"/>
    <w:rsid w:val="00FB04C0"/>
    <w:rsid w:val="00FB0D8F"/>
    <w:rsid w:val="00FB295F"/>
    <w:rsid w:val="00FB2E9D"/>
    <w:rsid w:val="00FC2333"/>
    <w:rsid w:val="00FC2DC7"/>
    <w:rsid w:val="00FC59C1"/>
    <w:rsid w:val="00FC7740"/>
    <w:rsid w:val="00FD3721"/>
    <w:rsid w:val="00FD479B"/>
    <w:rsid w:val="00FD5C46"/>
    <w:rsid w:val="00FD6497"/>
    <w:rsid w:val="00FE0DF2"/>
    <w:rsid w:val="00FE2168"/>
    <w:rsid w:val="00FE468B"/>
    <w:rsid w:val="00FF1358"/>
    <w:rsid w:val="00FF1D6D"/>
    <w:rsid w:val="00FF4F03"/>
    <w:rsid w:val="00FF6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7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D7F5C-D33C-49BE-93FF-8E84EAF0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3138</TotalTime>
  <Pages>1</Pages>
  <Words>440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244</cp:revision>
  <cp:lastPrinted>2016-04-07T13:46:00Z</cp:lastPrinted>
  <dcterms:created xsi:type="dcterms:W3CDTF">2014-05-02T20:48:00Z</dcterms:created>
  <dcterms:modified xsi:type="dcterms:W3CDTF">2016-04-07T13:49:00Z</dcterms:modified>
</cp:coreProperties>
</file>