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9F9" w:rsidRPr="002C0DC9" w:rsidRDefault="00CB79F9" w:rsidP="00CB79F9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Résumé </w:t>
      </w:r>
      <w:r w:rsidRPr="002C0DC9">
        <w:rPr>
          <w:b/>
          <w:bCs/>
          <w:color w:val="FF0000"/>
          <w:sz w:val="24"/>
          <w:szCs w:val="24"/>
        </w:rPr>
        <w:t>Poliomyélite antérieure aigue</w:t>
      </w:r>
      <w:r>
        <w:rPr>
          <w:b/>
          <w:bCs/>
          <w:color w:val="FF0000"/>
          <w:sz w:val="24"/>
          <w:szCs w:val="24"/>
        </w:rPr>
        <w:t xml:space="preserve"> (maladie de Heine </w:t>
      </w:r>
      <w:proofErr w:type="spellStart"/>
      <w:r>
        <w:rPr>
          <w:b/>
          <w:bCs/>
          <w:color w:val="FF0000"/>
          <w:sz w:val="24"/>
          <w:szCs w:val="24"/>
        </w:rPr>
        <w:t>Medune</w:t>
      </w:r>
      <w:proofErr w:type="spellEnd"/>
      <w:r>
        <w:rPr>
          <w:b/>
          <w:bCs/>
          <w:color w:val="FF0000"/>
          <w:sz w:val="24"/>
          <w:szCs w:val="24"/>
        </w:rPr>
        <w:t>)</w:t>
      </w:r>
    </w:p>
    <w:p w:rsidR="00CB79F9" w:rsidRDefault="00CB79F9" w:rsidP="00CB79F9">
      <w:r w:rsidRPr="002C0DC9">
        <w:t xml:space="preserve">Maladie infectieuse </w:t>
      </w:r>
      <w:r>
        <w:t>contagieuse et épidémique à déclaration obligatoire</w:t>
      </w:r>
    </w:p>
    <w:p w:rsidR="00CB79F9" w:rsidRDefault="00CB79F9" w:rsidP="00CB79F9">
      <w:r>
        <w:t>Entérovirus avec neurotropisme pour la corne antérieure de la moelle et les noyaux moteurs des nerfs crâniens</w:t>
      </w:r>
    </w:p>
    <w:p w:rsidR="00CB79F9" w:rsidRDefault="00CB79F9" w:rsidP="00CB79F9">
      <w:r>
        <w:t>Contamination : rhinopharynx au début puis par les selles (eau, aliments souillés)</w:t>
      </w:r>
    </w:p>
    <w:p w:rsidR="00CB79F9" w:rsidRDefault="00CB79F9" w:rsidP="00CB79F9">
      <w:pPr>
        <w:rPr>
          <w:b/>
          <w:bCs/>
        </w:rPr>
      </w:pPr>
    </w:p>
    <w:p w:rsidR="00CB79F9" w:rsidRPr="00522A36" w:rsidRDefault="00CB79F9" w:rsidP="00CB79F9">
      <w:pPr>
        <w:rPr>
          <w:b/>
          <w:bCs/>
        </w:rPr>
      </w:pPr>
      <w:r w:rsidRPr="00522A36">
        <w:rPr>
          <w:b/>
          <w:bCs/>
        </w:rPr>
        <w:t xml:space="preserve">Diagnostique positif : </w:t>
      </w:r>
    </w:p>
    <w:p w:rsidR="00CB79F9" w:rsidRDefault="00CB79F9" w:rsidP="00CB79F9">
      <w:r w:rsidRPr="00CB79F9">
        <w:rPr>
          <w:u w:val="single"/>
        </w:rPr>
        <w:t>Anamnèse</w:t>
      </w:r>
      <w:r>
        <w:t> : Contage, épidémie et absence de vaccination</w:t>
      </w:r>
    </w:p>
    <w:p w:rsidR="00CB79F9" w:rsidRDefault="00CB79F9" w:rsidP="00CB79F9">
      <w:r w:rsidRPr="00CB79F9">
        <w:rPr>
          <w:u w:val="single"/>
        </w:rPr>
        <w:t>Clinique</w:t>
      </w:r>
      <w:r>
        <w:t> : paralysie flasque aigue fébrile, périphérique, proximale, non systématisée et asymétrique</w:t>
      </w:r>
    </w:p>
    <w:p w:rsidR="00CB79F9" w:rsidRDefault="00CB79F9" w:rsidP="00CB79F9">
      <w:r w:rsidRPr="00CB79F9">
        <w:rPr>
          <w:u w:val="single"/>
        </w:rPr>
        <w:t>Biologie</w:t>
      </w:r>
      <w:r>
        <w:t xml:space="preserve"> : </w:t>
      </w:r>
    </w:p>
    <w:p w:rsidR="00CB79F9" w:rsidRDefault="00CB79F9" w:rsidP="00CB79F9">
      <w:pPr>
        <w:pStyle w:val="Paragraphedeliste"/>
        <w:numPr>
          <w:ilvl w:val="0"/>
          <w:numId w:val="1"/>
        </w:numPr>
      </w:pPr>
      <w:r>
        <w:t>Prélèvements gorge, selles, LCR</w:t>
      </w:r>
    </w:p>
    <w:p w:rsidR="00CB79F9" w:rsidRDefault="00CB79F9" w:rsidP="00CB79F9">
      <w:pPr>
        <w:pStyle w:val="Paragraphedeliste"/>
        <w:numPr>
          <w:ilvl w:val="0"/>
          <w:numId w:val="1"/>
        </w:numPr>
      </w:pPr>
      <w:r>
        <w:t>Sérologie virale : 2prélévements à 15 jours d’intervalle (le 2</w:t>
      </w:r>
      <w:r w:rsidRPr="00522A36">
        <w:rPr>
          <w:vertAlign w:val="superscript"/>
        </w:rPr>
        <w:t>ème</w:t>
      </w:r>
      <w:r>
        <w:t xml:space="preserve"> doit être 4x &gt; au 1</w:t>
      </w:r>
      <w:r w:rsidRPr="00522A36">
        <w:rPr>
          <w:vertAlign w:val="superscript"/>
        </w:rPr>
        <w:t>er</w:t>
      </w:r>
      <w:r>
        <w:t>)</w:t>
      </w:r>
    </w:p>
    <w:p w:rsidR="00CB79F9" w:rsidRDefault="00CB79F9" w:rsidP="00CB79F9">
      <w:pPr>
        <w:rPr>
          <w:b/>
          <w:bCs/>
        </w:rPr>
      </w:pPr>
    </w:p>
    <w:p w:rsidR="00CB79F9" w:rsidRPr="00CB79F9" w:rsidRDefault="00CB79F9" w:rsidP="00CB79F9">
      <w:pPr>
        <w:rPr>
          <w:b/>
          <w:bCs/>
        </w:rPr>
      </w:pPr>
      <w:r w:rsidRPr="00CB79F9">
        <w:rPr>
          <w:b/>
          <w:bCs/>
        </w:rPr>
        <w:t xml:space="preserve">Evolution : </w:t>
      </w:r>
    </w:p>
    <w:p w:rsidR="00CB79F9" w:rsidRDefault="00CB79F9" w:rsidP="00CB79F9">
      <w:pPr>
        <w:pStyle w:val="Paragraphedeliste"/>
        <w:numPr>
          <w:ilvl w:val="0"/>
          <w:numId w:val="1"/>
        </w:numPr>
      </w:pPr>
      <w:r>
        <w:t>La PMA laisse toujours des séquelles </w:t>
      </w:r>
    </w:p>
    <w:p w:rsidR="00CB79F9" w:rsidRDefault="00CB79F9" w:rsidP="00CB79F9">
      <w:pPr>
        <w:pStyle w:val="Paragraphedeliste"/>
        <w:numPr>
          <w:ilvl w:val="0"/>
          <w:numId w:val="1"/>
        </w:numPr>
      </w:pPr>
      <w:r>
        <w:t>La persistance de la fièvre doit faire redouter une atteinte respiratoire</w:t>
      </w:r>
    </w:p>
    <w:p w:rsidR="00CB79F9" w:rsidRDefault="00CB79F9" w:rsidP="00CB79F9">
      <w:pPr>
        <w:rPr>
          <w:b/>
          <w:bCs/>
        </w:rPr>
      </w:pPr>
    </w:p>
    <w:p w:rsidR="00CB79F9" w:rsidRPr="00BB3ED7" w:rsidRDefault="00CB79F9" w:rsidP="00CB79F9">
      <w:pPr>
        <w:rPr>
          <w:b/>
          <w:bCs/>
        </w:rPr>
      </w:pPr>
      <w:r w:rsidRPr="00BB3ED7">
        <w:rPr>
          <w:b/>
          <w:bCs/>
        </w:rPr>
        <w:t xml:space="preserve">Traitement : </w:t>
      </w:r>
    </w:p>
    <w:p w:rsidR="00CB79F9" w:rsidRDefault="00CB79F9" w:rsidP="00CB79F9">
      <w:r>
        <w:t xml:space="preserve">Curatif : Traitement symptomatique de la douleur + rééducation </w:t>
      </w:r>
    </w:p>
    <w:p w:rsidR="00CB79F9" w:rsidRDefault="00CB79F9" w:rsidP="00CB79F9">
      <w:r>
        <w:t xml:space="preserve">Préventif : Vaccins </w:t>
      </w:r>
      <w:proofErr w:type="spellStart"/>
      <w:r>
        <w:t>Salk</w:t>
      </w:r>
      <w:proofErr w:type="spellEnd"/>
      <w:r>
        <w:t xml:space="preserve"> en sous cutané et Sabin oral</w:t>
      </w:r>
    </w:p>
    <w:p w:rsidR="00CB79F9" w:rsidRDefault="00CB79F9" w:rsidP="00CB79F9"/>
    <w:p w:rsidR="005214E5" w:rsidRDefault="005214E5"/>
    <w:sectPr w:rsidR="005214E5" w:rsidSect="00CB79F9">
      <w:pgSz w:w="11906" w:h="16838"/>
      <w:pgMar w:top="1440" w:right="1133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15861"/>
    <w:multiLevelType w:val="hybridMultilevel"/>
    <w:tmpl w:val="9E2C6916"/>
    <w:lvl w:ilvl="0" w:tplc="42EA6D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B79F9"/>
    <w:rsid w:val="000269D5"/>
    <w:rsid w:val="004830B4"/>
    <w:rsid w:val="005214E5"/>
    <w:rsid w:val="00547338"/>
    <w:rsid w:val="00C91E80"/>
    <w:rsid w:val="00CB79F9"/>
    <w:rsid w:val="00DC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9F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B79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646647-1FC6-4356-B4A8-B06E761DC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765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2010-01-16T11:59:00Z</dcterms:created>
  <dcterms:modified xsi:type="dcterms:W3CDTF">2010-01-16T12:09:00Z</dcterms:modified>
</cp:coreProperties>
</file>