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BC777D" w:rsidRDefault="00BC777D" w:rsidP="00BC777D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14 </w:t>
      </w:r>
      <w:r w:rsidRPr="00BC777D">
        <w:rPr>
          <w:b/>
          <w:bCs/>
          <w:color w:val="FF0000"/>
        </w:rPr>
        <w:t>SCLEROSE EN PLAQUE SEP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>Maladie</w:t>
      </w:r>
      <w:r w:rsidR="00BC777D">
        <w:t xml:space="preserve"> inflammatoire</w:t>
      </w:r>
      <w:r>
        <w:t xml:space="preserve"> auto-immune chronique du SNC</w:t>
      </w:r>
      <w:r w:rsidR="007A670B">
        <w:t xml:space="preserve"> 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>Touche surtout la femme entre 20 et 40ans</w:t>
      </w:r>
    </w:p>
    <w:p w:rsidR="00F039F2" w:rsidRPr="00BC777D" w:rsidRDefault="00F039F2" w:rsidP="00F039F2">
      <w:pPr>
        <w:rPr>
          <w:b/>
          <w:bCs/>
          <w:color w:val="FF0000"/>
        </w:rPr>
      </w:pPr>
      <w:r w:rsidRPr="00BC777D">
        <w:rPr>
          <w:b/>
          <w:bCs/>
          <w:color w:val="FF0000"/>
        </w:rPr>
        <w:t>Neuropathologie :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 xml:space="preserve">Plaques de </w:t>
      </w:r>
      <w:r w:rsidRPr="001D7917">
        <w:rPr>
          <w:highlight w:val="yellow"/>
        </w:rPr>
        <w:t>démyélinisation</w:t>
      </w:r>
      <w:r>
        <w:t xml:space="preserve"> à l’emporte pièce qui siègent au niveau de la </w:t>
      </w:r>
      <w:r w:rsidRPr="001D7917">
        <w:rPr>
          <w:highlight w:val="yellow"/>
        </w:rPr>
        <w:t>substance blanche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 w:rsidRPr="001D7917">
        <w:rPr>
          <w:highlight w:val="yellow"/>
        </w:rPr>
        <w:t xml:space="preserve">Dissociation </w:t>
      </w:r>
      <w:proofErr w:type="spellStart"/>
      <w:r w:rsidRPr="001D7917">
        <w:rPr>
          <w:highlight w:val="yellow"/>
        </w:rPr>
        <w:t>myélino</w:t>
      </w:r>
      <w:proofErr w:type="spellEnd"/>
      <w:r w:rsidRPr="001D7917">
        <w:rPr>
          <w:highlight w:val="yellow"/>
        </w:rPr>
        <w:t>-</w:t>
      </w:r>
      <w:proofErr w:type="spellStart"/>
      <w:r w:rsidRPr="001D7917">
        <w:rPr>
          <w:highlight w:val="yellow"/>
        </w:rPr>
        <w:t>axonale</w:t>
      </w:r>
      <w:proofErr w:type="spellEnd"/>
      <w:r>
        <w:t> : respecte les axones au début de la maladie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>La plaque est le siège d’inflammation</w:t>
      </w:r>
      <w:r w:rsidR="001D7917">
        <w:t xml:space="preserve"> qui disparait et laisse place à</w:t>
      </w:r>
      <w:r>
        <w:t xml:space="preserve"> de la </w:t>
      </w:r>
      <w:proofErr w:type="spellStart"/>
      <w:r>
        <w:t>gliose</w:t>
      </w:r>
      <w:proofErr w:type="spellEnd"/>
      <w:r>
        <w:t xml:space="preserve"> astrocytaire 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 xml:space="preserve">Les plaques sont multiples prédominent dans les régions péri ventriculaire, ME, voies optiques 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 xml:space="preserve">Bloque de conduction réversible mais la </w:t>
      </w:r>
      <w:r w:rsidRPr="001D7917">
        <w:rPr>
          <w:highlight w:val="yellow"/>
        </w:rPr>
        <w:t xml:space="preserve">dégénérescence </w:t>
      </w:r>
      <w:proofErr w:type="spellStart"/>
      <w:r w:rsidRPr="001D7917">
        <w:rPr>
          <w:highlight w:val="yellow"/>
        </w:rPr>
        <w:t>axonale</w:t>
      </w:r>
      <w:proofErr w:type="spellEnd"/>
      <w:r w:rsidRPr="001D7917">
        <w:rPr>
          <w:highlight w:val="yellow"/>
        </w:rPr>
        <w:t xml:space="preserve"> irréversible</w:t>
      </w:r>
      <w:r>
        <w:t xml:space="preserve">  </w:t>
      </w:r>
    </w:p>
    <w:p w:rsidR="00F039F2" w:rsidRDefault="00F039F2" w:rsidP="00F039F2">
      <w:pPr>
        <w:pStyle w:val="Paragraphedeliste"/>
        <w:numPr>
          <w:ilvl w:val="0"/>
          <w:numId w:val="1"/>
        </w:numPr>
      </w:pPr>
      <w:r>
        <w:t>Sensible aux variations environnementales</w:t>
      </w:r>
    </w:p>
    <w:p w:rsidR="00F039F2" w:rsidRDefault="00F039F2" w:rsidP="000B1729">
      <w:pPr>
        <w:pStyle w:val="Paragraphedeliste"/>
        <w:numPr>
          <w:ilvl w:val="0"/>
          <w:numId w:val="1"/>
        </w:numPr>
      </w:pPr>
      <w:r>
        <w:t>Facteurs génétique</w:t>
      </w:r>
      <w:r w:rsidR="001D7917">
        <w:t>s</w:t>
      </w:r>
      <w:r w:rsidR="007A670B">
        <w:t> (</w:t>
      </w:r>
      <w:r>
        <w:t>association HLA A3, B7, Dr2</w:t>
      </w:r>
      <w:r w:rsidR="007A670B">
        <w:t>)</w:t>
      </w:r>
      <w:r w:rsidR="000B1729">
        <w:t xml:space="preserve">, et environnementaux </w:t>
      </w:r>
    </w:p>
    <w:p w:rsidR="00F039F2" w:rsidRPr="00BC777D" w:rsidRDefault="000B1729" w:rsidP="000B1729">
      <w:pPr>
        <w:rPr>
          <w:b/>
          <w:bCs/>
          <w:color w:val="FF0000"/>
        </w:rPr>
      </w:pPr>
      <w:r w:rsidRPr="00BC777D">
        <w:rPr>
          <w:b/>
          <w:bCs/>
          <w:color w:val="FF0000"/>
        </w:rPr>
        <w:t>Clinique :</w:t>
      </w:r>
    </w:p>
    <w:p w:rsidR="000B1729" w:rsidRPr="00BC777D" w:rsidRDefault="000B1729" w:rsidP="000B1729">
      <w:pPr>
        <w:pStyle w:val="Paragraphedeliste"/>
        <w:numPr>
          <w:ilvl w:val="0"/>
          <w:numId w:val="2"/>
        </w:numPr>
        <w:rPr>
          <w:b/>
          <w:bCs/>
        </w:rPr>
      </w:pPr>
      <w:r w:rsidRPr="00BC777D">
        <w:rPr>
          <w:b/>
          <w:bCs/>
        </w:rPr>
        <w:t>Neuropathie optique rétrobulbaire :</w:t>
      </w:r>
    </w:p>
    <w:p w:rsidR="000B1729" w:rsidRDefault="000B1729" w:rsidP="000B1729">
      <w:pPr>
        <w:pStyle w:val="Paragraphedeliste"/>
        <w:numPr>
          <w:ilvl w:val="0"/>
          <w:numId w:val="1"/>
        </w:numPr>
      </w:pPr>
      <w:r>
        <w:t>Baisse de l’acuité visuelle en quelque</w:t>
      </w:r>
      <w:r w:rsidR="007A670B">
        <w:t>s</w:t>
      </w:r>
      <w:r>
        <w:t xml:space="preserve"> heur</w:t>
      </w:r>
      <w:r w:rsidR="007A670B">
        <w:t>es</w:t>
      </w:r>
      <w:r>
        <w:t>, scotome, troubl</w:t>
      </w:r>
      <w:r w:rsidR="007A670B">
        <w:t>e visuel des couleurs, douleur à</w:t>
      </w:r>
      <w:r>
        <w:t xml:space="preserve"> la mobilisation du globe oculaire </w:t>
      </w:r>
    </w:p>
    <w:p w:rsidR="000B1729" w:rsidRDefault="000B1729" w:rsidP="000B1729">
      <w:pPr>
        <w:pStyle w:val="Paragraphedeliste"/>
        <w:numPr>
          <w:ilvl w:val="0"/>
          <w:numId w:val="1"/>
        </w:numPr>
      </w:pPr>
      <w:r>
        <w:t>FO normal 90%, la récupération de l’acuité visuelle dans 75% des cas en moins de 6mois</w:t>
      </w:r>
    </w:p>
    <w:p w:rsidR="000B1729" w:rsidRDefault="000B1729" w:rsidP="000B1729">
      <w:pPr>
        <w:pStyle w:val="Paragraphedeliste"/>
      </w:pPr>
    </w:p>
    <w:p w:rsidR="000B1729" w:rsidRPr="00BC777D" w:rsidRDefault="000B1729" w:rsidP="000B1729">
      <w:pPr>
        <w:pStyle w:val="Paragraphedeliste"/>
        <w:numPr>
          <w:ilvl w:val="0"/>
          <w:numId w:val="2"/>
        </w:numPr>
        <w:rPr>
          <w:b/>
          <w:bCs/>
        </w:rPr>
      </w:pPr>
      <w:r w:rsidRPr="00BC777D">
        <w:rPr>
          <w:b/>
          <w:bCs/>
        </w:rPr>
        <w:t>Manifestations sensitives :</w:t>
      </w:r>
    </w:p>
    <w:p w:rsidR="000B1729" w:rsidRDefault="000B1729" w:rsidP="000B1729">
      <w:pPr>
        <w:pStyle w:val="Paragraphedeliste"/>
        <w:numPr>
          <w:ilvl w:val="0"/>
          <w:numId w:val="1"/>
        </w:numPr>
      </w:pPr>
      <w:r>
        <w:t>Fourmillements</w:t>
      </w:r>
    </w:p>
    <w:p w:rsidR="000B1729" w:rsidRDefault="000B1729" w:rsidP="000B1729">
      <w:pPr>
        <w:pStyle w:val="Paragraphedeliste"/>
        <w:numPr>
          <w:ilvl w:val="0"/>
          <w:numId w:val="1"/>
        </w:numPr>
      </w:pPr>
      <w:r>
        <w:t xml:space="preserve">Signe de Lhermitte (atteinte </w:t>
      </w:r>
      <w:proofErr w:type="spellStart"/>
      <w:r>
        <w:t>cordonale</w:t>
      </w:r>
      <w:proofErr w:type="spellEnd"/>
      <w:r>
        <w:t xml:space="preserve"> post) : lorsque le patient baisse la tête, il a la sensation de décharge électrique au niveau cervical parcourant le rachis</w:t>
      </w:r>
    </w:p>
    <w:p w:rsidR="000B1729" w:rsidRDefault="000B1729" w:rsidP="000B1729">
      <w:pPr>
        <w:pStyle w:val="Paragraphedeliste"/>
      </w:pPr>
    </w:p>
    <w:p w:rsidR="000B1729" w:rsidRPr="00BC777D" w:rsidRDefault="000B1729" w:rsidP="000B1729">
      <w:pPr>
        <w:pStyle w:val="Paragraphedeliste"/>
        <w:numPr>
          <w:ilvl w:val="0"/>
          <w:numId w:val="2"/>
        </w:numPr>
        <w:rPr>
          <w:b/>
          <w:bCs/>
        </w:rPr>
      </w:pPr>
      <w:r w:rsidRPr="00BC777D">
        <w:rPr>
          <w:b/>
          <w:bCs/>
        </w:rPr>
        <w:t>Manifestations motrices :</w:t>
      </w:r>
    </w:p>
    <w:p w:rsidR="008970D9" w:rsidRDefault="000B1729" w:rsidP="008970D9">
      <w:pPr>
        <w:pStyle w:val="Paragraphedeliste"/>
        <w:numPr>
          <w:ilvl w:val="0"/>
          <w:numId w:val="1"/>
        </w:numPr>
      </w:pPr>
      <w:r>
        <w:t>Atteintes pyramidales : signe Babinski positifs, exagération des ROT, abolition des réflexes cutanées abdominaux (RCA), déficit moteur spastique des membres inférieurs</w:t>
      </w:r>
    </w:p>
    <w:p w:rsidR="000B1729" w:rsidRDefault="000B1729" w:rsidP="008970D9">
      <w:pPr>
        <w:pStyle w:val="Paragraphedeliste"/>
      </w:pPr>
    </w:p>
    <w:p w:rsidR="000B1729" w:rsidRPr="00BC777D" w:rsidRDefault="000B1729" w:rsidP="000B1729">
      <w:pPr>
        <w:pStyle w:val="Paragraphedeliste"/>
        <w:numPr>
          <w:ilvl w:val="0"/>
          <w:numId w:val="2"/>
        </w:numPr>
        <w:rPr>
          <w:b/>
          <w:bCs/>
        </w:rPr>
      </w:pPr>
      <w:r w:rsidRPr="00BC777D">
        <w:rPr>
          <w:b/>
          <w:bCs/>
        </w:rPr>
        <w:t>Troubles oculomoteurs</w:t>
      </w:r>
      <w:r w:rsidR="008970D9" w:rsidRPr="00BC777D">
        <w:rPr>
          <w:b/>
          <w:bCs/>
        </w:rPr>
        <w:t> :</w:t>
      </w:r>
    </w:p>
    <w:p w:rsidR="008970D9" w:rsidRDefault="008970D9" w:rsidP="008970D9">
      <w:pPr>
        <w:pStyle w:val="Paragraphedeliste"/>
        <w:numPr>
          <w:ilvl w:val="0"/>
          <w:numId w:val="1"/>
        </w:numPr>
      </w:pPr>
      <w:r>
        <w:t>Diplopie (atteinte du VI)</w:t>
      </w:r>
    </w:p>
    <w:p w:rsidR="008970D9" w:rsidRDefault="008970D9" w:rsidP="008970D9">
      <w:pPr>
        <w:pStyle w:val="Paragraphedeliste"/>
        <w:numPr>
          <w:ilvl w:val="0"/>
          <w:numId w:val="1"/>
        </w:numPr>
      </w:pPr>
      <w:proofErr w:type="spellStart"/>
      <w:r>
        <w:t>Ophtalmoplégie</w:t>
      </w:r>
      <w:proofErr w:type="spellEnd"/>
      <w:r>
        <w:t xml:space="preserve"> intranucléaire (atteinte de la bandelette longitudinale postérieure) </w:t>
      </w:r>
    </w:p>
    <w:p w:rsidR="008970D9" w:rsidRDefault="008970D9" w:rsidP="008970D9">
      <w:pPr>
        <w:pStyle w:val="Paragraphedeliste"/>
      </w:pPr>
    </w:p>
    <w:p w:rsidR="000B1729" w:rsidRPr="00BC777D" w:rsidRDefault="000B1729" w:rsidP="000B1729">
      <w:pPr>
        <w:pStyle w:val="Paragraphedeliste"/>
        <w:numPr>
          <w:ilvl w:val="0"/>
          <w:numId w:val="2"/>
        </w:numPr>
        <w:rPr>
          <w:b/>
          <w:bCs/>
        </w:rPr>
      </w:pPr>
      <w:r w:rsidRPr="00BC777D">
        <w:rPr>
          <w:b/>
          <w:bCs/>
        </w:rPr>
        <w:t>Troubles vestibulaires et cérébelleux</w:t>
      </w:r>
      <w:r w:rsidR="008970D9" w:rsidRPr="00BC777D">
        <w:rPr>
          <w:b/>
          <w:bCs/>
        </w:rPr>
        <w:t> :</w:t>
      </w:r>
    </w:p>
    <w:p w:rsidR="008970D9" w:rsidRDefault="008970D9" w:rsidP="008970D9">
      <w:pPr>
        <w:pStyle w:val="Paragraphedeliste"/>
        <w:numPr>
          <w:ilvl w:val="0"/>
          <w:numId w:val="1"/>
        </w:numPr>
      </w:pPr>
      <w:r>
        <w:t xml:space="preserve">Ataxie, vertiges, nystagmus </w:t>
      </w:r>
    </w:p>
    <w:p w:rsidR="008970D9" w:rsidRDefault="008970D9" w:rsidP="008970D9">
      <w:pPr>
        <w:pStyle w:val="Paragraphedeliste"/>
      </w:pPr>
    </w:p>
    <w:p w:rsidR="000B1729" w:rsidRPr="00BC777D" w:rsidRDefault="000B1729" w:rsidP="000B1729">
      <w:pPr>
        <w:pStyle w:val="Paragraphedeliste"/>
        <w:numPr>
          <w:ilvl w:val="0"/>
          <w:numId w:val="2"/>
        </w:numPr>
        <w:rPr>
          <w:b/>
          <w:bCs/>
        </w:rPr>
      </w:pPr>
      <w:r w:rsidRPr="00BC777D">
        <w:rPr>
          <w:b/>
          <w:bCs/>
        </w:rPr>
        <w:t>Troubles sphinctériens</w:t>
      </w:r>
      <w:r w:rsidR="008970D9" w:rsidRPr="00BC777D">
        <w:rPr>
          <w:b/>
          <w:bCs/>
        </w:rPr>
        <w:t> :</w:t>
      </w:r>
    </w:p>
    <w:p w:rsidR="008970D9" w:rsidRDefault="008970D9" w:rsidP="008970D9">
      <w:pPr>
        <w:pStyle w:val="Paragraphedeliste"/>
        <w:numPr>
          <w:ilvl w:val="0"/>
          <w:numId w:val="1"/>
        </w:numPr>
      </w:pPr>
      <w:r>
        <w:t>Dans les formes évoluées (atteinte médullaire)</w:t>
      </w:r>
    </w:p>
    <w:p w:rsidR="008970D9" w:rsidRDefault="008970D9" w:rsidP="008970D9">
      <w:pPr>
        <w:pStyle w:val="Paragraphedeliste"/>
      </w:pPr>
    </w:p>
    <w:p w:rsidR="008970D9" w:rsidRPr="00BC777D" w:rsidRDefault="000B1729" w:rsidP="008970D9">
      <w:pPr>
        <w:pStyle w:val="Paragraphedeliste"/>
        <w:numPr>
          <w:ilvl w:val="0"/>
          <w:numId w:val="2"/>
        </w:numPr>
        <w:rPr>
          <w:b/>
          <w:bCs/>
        </w:rPr>
      </w:pPr>
      <w:r>
        <w:t xml:space="preserve"> </w:t>
      </w:r>
      <w:r w:rsidRPr="00BC777D">
        <w:rPr>
          <w:b/>
          <w:bCs/>
        </w:rPr>
        <w:t>Autres Manifestation</w:t>
      </w:r>
      <w:r w:rsidR="00BC777D" w:rsidRPr="00BC777D">
        <w:rPr>
          <w:b/>
          <w:bCs/>
        </w:rPr>
        <w:t>s</w:t>
      </w:r>
      <w:r w:rsidR="008970D9" w:rsidRPr="00BC777D">
        <w:rPr>
          <w:b/>
          <w:bCs/>
        </w:rPr>
        <w:t> :</w:t>
      </w:r>
    </w:p>
    <w:p w:rsidR="008970D9" w:rsidRDefault="008970D9" w:rsidP="008970D9">
      <w:pPr>
        <w:pStyle w:val="Paragraphedeliste"/>
        <w:numPr>
          <w:ilvl w:val="0"/>
          <w:numId w:val="1"/>
        </w:numPr>
      </w:pPr>
      <w:r>
        <w:t xml:space="preserve">Atteinte des paires crâniennes, fatigue, troubles cognitifs </w:t>
      </w:r>
    </w:p>
    <w:p w:rsidR="009771B9" w:rsidRPr="00BC777D" w:rsidRDefault="008970D9" w:rsidP="009771B9">
      <w:pPr>
        <w:rPr>
          <w:b/>
          <w:bCs/>
          <w:color w:val="FF0000"/>
        </w:rPr>
      </w:pPr>
      <w:r w:rsidRPr="00BC777D">
        <w:rPr>
          <w:b/>
          <w:bCs/>
          <w:color w:val="FF0000"/>
        </w:rPr>
        <w:t>Evolution :</w:t>
      </w:r>
    </w:p>
    <w:p w:rsidR="008970D9" w:rsidRDefault="008970D9" w:rsidP="009771B9">
      <w:pPr>
        <w:pStyle w:val="Paragraphedeliste"/>
        <w:numPr>
          <w:ilvl w:val="0"/>
          <w:numId w:val="3"/>
        </w:numPr>
      </w:pPr>
      <w:r w:rsidRPr="00BC777D">
        <w:rPr>
          <w:color w:val="FF0000"/>
        </w:rPr>
        <w:t>La poussée :</w:t>
      </w:r>
      <w:r>
        <w:t xml:space="preserve"> apparition </w:t>
      </w:r>
      <w:r w:rsidR="00153C14">
        <w:t>de symptômes durant plus de 24h</w:t>
      </w:r>
      <w:r w:rsidRPr="008970D9">
        <w:t xml:space="preserve"> </w:t>
      </w:r>
      <w:r>
        <w:t xml:space="preserve">ou leur répartition après une rémission de plus d’un mois </w:t>
      </w:r>
    </w:p>
    <w:p w:rsidR="008970D9" w:rsidRDefault="008970D9" w:rsidP="009771B9">
      <w:pPr>
        <w:pStyle w:val="Paragraphedeliste"/>
        <w:numPr>
          <w:ilvl w:val="0"/>
          <w:numId w:val="3"/>
        </w:numPr>
      </w:pPr>
      <w:r w:rsidRPr="00BC777D">
        <w:rPr>
          <w:color w:val="FF0000"/>
        </w:rPr>
        <w:t>La rémission :</w:t>
      </w:r>
      <w:r>
        <w:t xml:space="preserve"> amélioration &gt; 1mois de singes ayant durés &gt; 24h</w:t>
      </w:r>
    </w:p>
    <w:p w:rsidR="008970D9" w:rsidRDefault="008970D9" w:rsidP="009771B9">
      <w:pPr>
        <w:pStyle w:val="Paragraphedeliste"/>
        <w:numPr>
          <w:ilvl w:val="0"/>
          <w:numId w:val="3"/>
        </w:numPr>
      </w:pPr>
      <w:r w:rsidRPr="00BC777D">
        <w:rPr>
          <w:color w:val="FF0000"/>
        </w:rPr>
        <w:t>La progression :</w:t>
      </w:r>
      <w:r w:rsidR="009771B9">
        <w:t xml:space="preserve"> majoration sans stabilisation des symptômes &gt; 6mois 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 w:rsidRPr="00BC777D">
        <w:rPr>
          <w:color w:val="FF0000"/>
        </w:rPr>
        <w:lastRenderedPageBreak/>
        <w:t>La forme rémittente :</w:t>
      </w:r>
      <w:r>
        <w:t xml:space="preserve"> la plus fréquente, évolue par poussé</w:t>
      </w:r>
      <w:r w:rsidR="00153C14">
        <w:t>es rémissions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 w:rsidRPr="00BC777D">
        <w:rPr>
          <w:color w:val="FF0000"/>
        </w:rPr>
        <w:t>La forme progressive continue :</w:t>
      </w:r>
      <w:r>
        <w:t xml:space="preserve"> forme du sujet âgé &gt; 40ans, de mauvais pronostic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 w:rsidRPr="00BC777D">
        <w:rPr>
          <w:color w:val="FF0000"/>
        </w:rPr>
        <w:t>La forme secondairement progressive :</w:t>
      </w:r>
      <w:r>
        <w:t xml:space="preserve"> phase initiale rémittente, on observe après une progression avec ou sans poussées </w:t>
      </w:r>
    </w:p>
    <w:p w:rsidR="009771B9" w:rsidRPr="00BC777D" w:rsidRDefault="009771B9" w:rsidP="009771B9">
      <w:pPr>
        <w:rPr>
          <w:b/>
          <w:bCs/>
          <w:color w:val="FF0000"/>
        </w:rPr>
      </w:pPr>
      <w:r w:rsidRPr="00BC777D">
        <w:rPr>
          <w:b/>
          <w:bCs/>
          <w:color w:val="FF0000"/>
        </w:rPr>
        <w:t>Clinique :</w:t>
      </w:r>
    </w:p>
    <w:p w:rsidR="009771B9" w:rsidRDefault="009771B9" w:rsidP="009771B9">
      <w:r w:rsidRPr="00BC777D">
        <w:rPr>
          <w:b/>
          <w:bCs/>
        </w:rPr>
        <w:t>4 critères cliniques spécifiques</w:t>
      </w:r>
      <w:r>
        <w:t xml:space="preserve"> nécessaires au diagnostic 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>
        <w:t>L’âge de survenue : ½ SEP surviennent entre 25, 40ans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>
        <w:t xml:space="preserve">Symptomatologies : reflet de l’atteinte de la substance blanche 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>
        <w:t>Signes disséminés dans le temps et dans l’espace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>
        <w:t xml:space="preserve">Exclusion des autres diagnostics : paraclinique </w:t>
      </w:r>
    </w:p>
    <w:p w:rsidR="009771B9" w:rsidRPr="00BC777D" w:rsidRDefault="009771B9" w:rsidP="009771B9">
      <w:pPr>
        <w:rPr>
          <w:b/>
          <w:bCs/>
          <w:color w:val="FF0000"/>
        </w:rPr>
      </w:pPr>
      <w:r w:rsidRPr="00BC777D">
        <w:rPr>
          <w:b/>
          <w:bCs/>
          <w:color w:val="FF0000"/>
        </w:rPr>
        <w:t>Paraclinique :</w:t>
      </w:r>
    </w:p>
    <w:p w:rsidR="009771B9" w:rsidRDefault="009771B9" w:rsidP="009771B9">
      <w:pPr>
        <w:pStyle w:val="Paragraphedeliste"/>
        <w:numPr>
          <w:ilvl w:val="0"/>
          <w:numId w:val="1"/>
        </w:numPr>
      </w:pPr>
      <w:r w:rsidRPr="000956AF">
        <w:rPr>
          <w:b/>
          <w:bCs/>
        </w:rPr>
        <w:t>IRM :</w:t>
      </w:r>
      <w:r>
        <w:t xml:space="preserve"> visualise directement les lésions,  </w:t>
      </w:r>
    </w:p>
    <w:p w:rsidR="009771B9" w:rsidRDefault="00843390" w:rsidP="00843390">
      <w:pPr>
        <w:pStyle w:val="Paragraphedeliste"/>
        <w:numPr>
          <w:ilvl w:val="0"/>
          <w:numId w:val="3"/>
        </w:numPr>
      </w:pPr>
      <w:r>
        <w:t>Signes hyper intenses de la substance blanche sur les séquences pondérées T2</w:t>
      </w:r>
    </w:p>
    <w:p w:rsidR="00843390" w:rsidRDefault="00843390" w:rsidP="00843390">
      <w:pPr>
        <w:pStyle w:val="Paragraphedeliste"/>
        <w:numPr>
          <w:ilvl w:val="0"/>
          <w:numId w:val="3"/>
        </w:numPr>
      </w:pPr>
      <w:r>
        <w:t>les séquences pondérées T1 permettent de différentier les lésions évolutives (hyper intenses) des lésions anciennes (hypo intenses)</w:t>
      </w:r>
    </w:p>
    <w:p w:rsidR="00843390" w:rsidRDefault="00843390" w:rsidP="000956AF">
      <w:pPr>
        <w:pStyle w:val="Paragraphedeliste"/>
        <w:numPr>
          <w:ilvl w:val="0"/>
          <w:numId w:val="1"/>
        </w:numPr>
      </w:pPr>
      <w:r w:rsidRPr="000956AF">
        <w:rPr>
          <w:b/>
          <w:bCs/>
        </w:rPr>
        <w:t>les potentiels évoqués cérébraux</w:t>
      </w:r>
      <w:r w:rsidR="000956AF" w:rsidRPr="000956AF">
        <w:rPr>
          <w:b/>
          <w:bCs/>
        </w:rPr>
        <w:t> :</w:t>
      </w:r>
      <w:r w:rsidR="000956AF">
        <w:t xml:space="preserve"> </w:t>
      </w:r>
      <w:r>
        <w:t>PEA, PEV, PES (</w:t>
      </w:r>
      <w:proofErr w:type="spellStart"/>
      <w:r>
        <w:t>somesthésique</w:t>
      </w:r>
      <w:proofErr w:type="spellEnd"/>
      <w:r>
        <w:t xml:space="preserve">) détection des lésions infra-cliniques </w:t>
      </w:r>
    </w:p>
    <w:p w:rsidR="00843390" w:rsidRDefault="00843390" w:rsidP="00843390">
      <w:pPr>
        <w:pStyle w:val="Paragraphedeliste"/>
        <w:numPr>
          <w:ilvl w:val="0"/>
          <w:numId w:val="1"/>
        </w:numPr>
      </w:pPr>
      <w:r w:rsidRPr="000956AF">
        <w:rPr>
          <w:b/>
          <w:bCs/>
        </w:rPr>
        <w:t xml:space="preserve">LCR </w:t>
      </w:r>
      <w:r>
        <w:t>à la recherche de réactions immunologiques :</w:t>
      </w:r>
    </w:p>
    <w:p w:rsidR="00843390" w:rsidRDefault="00843390" w:rsidP="00843390">
      <w:pPr>
        <w:pStyle w:val="Paragraphedeliste"/>
        <w:numPr>
          <w:ilvl w:val="0"/>
          <w:numId w:val="3"/>
        </w:numPr>
      </w:pPr>
      <w:r>
        <w:t>Cytologie : réaction c</w:t>
      </w:r>
      <w:r w:rsidR="00BC777D">
        <w:t xml:space="preserve">ellulaire lymphocytaire modérée &lt; 50 </w:t>
      </w:r>
      <w:proofErr w:type="spellStart"/>
      <w:r w:rsidR="00BC777D">
        <w:t>élments</w:t>
      </w:r>
      <w:proofErr w:type="spellEnd"/>
      <w:r w:rsidR="00BC777D">
        <w:t> </w:t>
      </w:r>
    </w:p>
    <w:p w:rsidR="00BC777D" w:rsidRDefault="00BC777D" w:rsidP="00843390">
      <w:pPr>
        <w:pStyle w:val="Paragraphedeliste"/>
        <w:numPr>
          <w:ilvl w:val="0"/>
          <w:numId w:val="3"/>
        </w:numPr>
      </w:pPr>
      <w:r>
        <w:t xml:space="preserve">Immunoélectrophorèse : synthèse </w:t>
      </w:r>
      <w:proofErr w:type="spellStart"/>
      <w:r>
        <w:t>intrathécale</w:t>
      </w:r>
      <w:proofErr w:type="spellEnd"/>
      <w:r>
        <w:t xml:space="preserve"> d’IgG</w:t>
      </w:r>
    </w:p>
    <w:p w:rsidR="00BC777D" w:rsidRPr="000956AF" w:rsidRDefault="00BC777D" w:rsidP="00BC777D">
      <w:pPr>
        <w:rPr>
          <w:b/>
          <w:bCs/>
          <w:color w:val="FF0000"/>
        </w:rPr>
      </w:pPr>
      <w:r w:rsidRPr="000956AF">
        <w:rPr>
          <w:b/>
          <w:bCs/>
          <w:color w:val="FF0000"/>
        </w:rPr>
        <w:t xml:space="preserve">Traitement : </w:t>
      </w:r>
    </w:p>
    <w:p w:rsidR="00BC777D" w:rsidRPr="000956AF" w:rsidRDefault="00BC777D" w:rsidP="00BC777D">
      <w:pPr>
        <w:rPr>
          <w:b/>
          <w:bCs/>
        </w:rPr>
      </w:pPr>
      <w:r w:rsidRPr="000956AF">
        <w:rPr>
          <w:b/>
          <w:bCs/>
        </w:rPr>
        <w:t>Traitement des poussées :</w:t>
      </w:r>
    </w:p>
    <w:p w:rsidR="00BC777D" w:rsidRDefault="00BC777D" w:rsidP="00BC777D">
      <w:pPr>
        <w:pStyle w:val="Paragraphedeliste"/>
        <w:numPr>
          <w:ilvl w:val="0"/>
          <w:numId w:val="1"/>
        </w:numPr>
      </w:pPr>
      <w:r>
        <w:t xml:space="preserve">CTC : bolus de </w:t>
      </w:r>
      <w:proofErr w:type="spellStart"/>
      <w:r>
        <w:t>Méthylprednisone</w:t>
      </w:r>
      <w:proofErr w:type="spellEnd"/>
      <w:r>
        <w:t xml:space="preserve"> en IV</w:t>
      </w:r>
    </w:p>
    <w:p w:rsidR="00BC777D" w:rsidRPr="000956AF" w:rsidRDefault="00BC777D" w:rsidP="00BC777D">
      <w:pPr>
        <w:rPr>
          <w:b/>
          <w:bCs/>
        </w:rPr>
      </w:pPr>
      <w:r w:rsidRPr="000956AF">
        <w:rPr>
          <w:b/>
          <w:bCs/>
        </w:rPr>
        <w:t>Traitement de fond :</w:t>
      </w:r>
    </w:p>
    <w:p w:rsidR="00BC777D" w:rsidRDefault="00BC777D" w:rsidP="00BC777D">
      <w:pPr>
        <w:pStyle w:val="Paragraphedeliste"/>
        <w:numPr>
          <w:ilvl w:val="0"/>
          <w:numId w:val="1"/>
        </w:numPr>
      </w:pPr>
      <w:proofErr w:type="spellStart"/>
      <w:r>
        <w:t>Immuno</w:t>
      </w:r>
      <w:proofErr w:type="spellEnd"/>
      <w:r>
        <w:t xml:space="preserve">-modulateurs : interféron B, et immunoglobulines </w:t>
      </w:r>
    </w:p>
    <w:p w:rsidR="00BC777D" w:rsidRDefault="00BC777D" w:rsidP="00BC777D">
      <w:pPr>
        <w:pStyle w:val="Paragraphedeliste"/>
        <w:numPr>
          <w:ilvl w:val="0"/>
          <w:numId w:val="1"/>
        </w:numPr>
      </w:pPr>
      <w:proofErr w:type="spellStart"/>
      <w:r>
        <w:t>Immuno-suppresseurs</w:t>
      </w:r>
      <w:proofErr w:type="spellEnd"/>
      <w:r>
        <w:t> : dans les formes graves évolutives</w:t>
      </w:r>
    </w:p>
    <w:p w:rsidR="00BC777D" w:rsidRPr="000956AF" w:rsidRDefault="00BC777D" w:rsidP="00BC777D">
      <w:pPr>
        <w:rPr>
          <w:b/>
          <w:bCs/>
        </w:rPr>
      </w:pPr>
      <w:r w:rsidRPr="000956AF">
        <w:rPr>
          <w:b/>
          <w:bCs/>
        </w:rPr>
        <w:t>Traitement symptomatique :</w:t>
      </w:r>
    </w:p>
    <w:p w:rsidR="00BC777D" w:rsidRDefault="00BC777D" w:rsidP="00153C14">
      <w:pPr>
        <w:pStyle w:val="Paragraphedeliste"/>
        <w:numPr>
          <w:ilvl w:val="0"/>
          <w:numId w:val="1"/>
        </w:numPr>
      </w:pPr>
      <w:r>
        <w:t>Rééd</w:t>
      </w:r>
      <w:r w:rsidR="00153C14">
        <w:t>ucation, douleur, fatigue, spas</w:t>
      </w:r>
      <w:r>
        <w:t>ticité …</w:t>
      </w:r>
    </w:p>
    <w:sectPr w:rsidR="00BC777D" w:rsidSect="008970D9">
      <w:pgSz w:w="11906" w:h="16838"/>
      <w:pgMar w:top="851" w:right="991" w:bottom="1135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F7F2C"/>
    <w:multiLevelType w:val="hybridMultilevel"/>
    <w:tmpl w:val="1DD28336"/>
    <w:lvl w:ilvl="0" w:tplc="CF96321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24246D"/>
    <w:multiLevelType w:val="hybridMultilevel"/>
    <w:tmpl w:val="E00E1ED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B84FEF"/>
    <w:multiLevelType w:val="hybridMultilevel"/>
    <w:tmpl w:val="839A4866"/>
    <w:lvl w:ilvl="0" w:tplc="4DAAD0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039F2"/>
    <w:rsid w:val="000269D5"/>
    <w:rsid w:val="0009550F"/>
    <w:rsid w:val="000956AF"/>
    <w:rsid w:val="000B1729"/>
    <w:rsid w:val="00153C14"/>
    <w:rsid w:val="001B341C"/>
    <w:rsid w:val="001D7917"/>
    <w:rsid w:val="001E0A6F"/>
    <w:rsid w:val="004830B4"/>
    <w:rsid w:val="005214E5"/>
    <w:rsid w:val="00547338"/>
    <w:rsid w:val="007A670B"/>
    <w:rsid w:val="00843390"/>
    <w:rsid w:val="008970D9"/>
    <w:rsid w:val="009771B9"/>
    <w:rsid w:val="00BC777D"/>
    <w:rsid w:val="00DC741B"/>
    <w:rsid w:val="00F039F2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03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2010-02-09T14:33:00Z</dcterms:created>
  <dcterms:modified xsi:type="dcterms:W3CDTF">2010-02-12T21:19:00Z</dcterms:modified>
</cp:coreProperties>
</file>