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B8D" w:rsidRPr="006A1734" w:rsidRDefault="00407F18" w:rsidP="00407F18">
      <w:pPr>
        <w:tabs>
          <w:tab w:val="left" w:pos="5103"/>
        </w:tabs>
        <w:ind w:left="360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6A1734">
        <w:rPr>
          <w:rFonts w:asciiTheme="minorHAnsi" w:hAnsiTheme="minorHAnsi"/>
          <w:b/>
          <w:color w:val="FF0000"/>
          <w:sz w:val="22"/>
          <w:szCs w:val="22"/>
        </w:rPr>
        <w:t>ANAPATH/ TUBERCULOSE PULMONAIRE ET PLEURALE</w:t>
      </w:r>
    </w:p>
    <w:p w:rsidR="00407F18" w:rsidRPr="006A1734" w:rsidRDefault="00407F18" w:rsidP="00407F18">
      <w:pPr>
        <w:tabs>
          <w:tab w:val="left" w:pos="5103"/>
        </w:tabs>
        <w:ind w:left="360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09103C" w:rsidRPr="006A1734" w:rsidRDefault="0009103C" w:rsidP="0009103C">
      <w:pPr>
        <w:tabs>
          <w:tab w:val="left" w:pos="5103"/>
        </w:tabs>
        <w:ind w:left="360"/>
        <w:rPr>
          <w:rFonts w:asciiTheme="minorHAnsi" w:hAnsiTheme="minorHAnsi"/>
          <w:sz w:val="22"/>
          <w:szCs w:val="22"/>
        </w:rPr>
      </w:pPr>
    </w:p>
    <w:p w:rsidR="0009103C" w:rsidRPr="006A1734" w:rsidRDefault="0009103C" w:rsidP="0009103C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>le BK pénètre l’organisme</w:t>
      </w:r>
      <w:r w:rsidR="002736BD">
        <w:rPr>
          <w:rFonts w:asciiTheme="minorHAnsi" w:hAnsiTheme="minorHAnsi"/>
          <w:sz w:val="22"/>
          <w:szCs w:val="22"/>
        </w:rPr>
        <w:t>, il</w:t>
      </w:r>
      <w:r w:rsidRPr="006A1734">
        <w:rPr>
          <w:rFonts w:asciiTheme="minorHAnsi" w:hAnsiTheme="minorHAnsi"/>
          <w:sz w:val="22"/>
          <w:szCs w:val="22"/>
        </w:rPr>
        <w:t xml:space="preserve"> est</w:t>
      </w:r>
      <w:r w:rsidR="002736BD">
        <w:rPr>
          <w:rFonts w:asciiTheme="minorHAnsi" w:hAnsiTheme="minorHAnsi"/>
          <w:sz w:val="22"/>
          <w:szCs w:val="22"/>
        </w:rPr>
        <w:t xml:space="preserve"> phagocyté par les macrophages où</w:t>
      </w:r>
      <w:r w:rsidRPr="006A1734">
        <w:rPr>
          <w:rFonts w:asciiTheme="minorHAnsi" w:hAnsiTheme="minorHAnsi"/>
          <w:sz w:val="22"/>
          <w:szCs w:val="22"/>
        </w:rPr>
        <w:t xml:space="preserve"> il se comporte comme un parasite intra cellulaires lorsqu’il n’est pas détruit </w:t>
      </w:r>
    </w:p>
    <w:p w:rsidR="0009103C" w:rsidRPr="006A1734" w:rsidRDefault="0009103C" w:rsidP="0009103C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le BK se multiplie dans les histiocytes, ceux-ci en migrant contribuent à la dissémination de la maladie </w:t>
      </w:r>
    </w:p>
    <w:p w:rsidR="0009103C" w:rsidRPr="006A1734" w:rsidRDefault="0009103C" w:rsidP="0009103C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la réaction inflammatoire déclenchée est une réaction de type cellulaire </w:t>
      </w:r>
    </w:p>
    <w:p w:rsidR="0009103C" w:rsidRPr="006A1734" w:rsidRDefault="0009103C" w:rsidP="0009103C">
      <w:pPr>
        <w:tabs>
          <w:tab w:val="left" w:pos="5103"/>
        </w:tabs>
        <w:rPr>
          <w:rFonts w:asciiTheme="minorHAnsi" w:hAnsiTheme="minorHAnsi"/>
          <w:sz w:val="22"/>
          <w:szCs w:val="22"/>
        </w:rPr>
      </w:pPr>
    </w:p>
    <w:p w:rsidR="0009103C" w:rsidRPr="006A1734" w:rsidRDefault="0009103C" w:rsidP="0009103C">
      <w:pPr>
        <w:tabs>
          <w:tab w:val="left" w:pos="5103"/>
        </w:tabs>
        <w:rPr>
          <w:rFonts w:asciiTheme="minorHAnsi" w:hAnsiTheme="minorHAnsi"/>
          <w:b/>
          <w:color w:val="FF0000"/>
          <w:sz w:val="22"/>
          <w:szCs w:val="22"/>
        </w:rPr>
      </w:pPr>
      <w:r w:rsidRPr="006A1734">
        <w:rPr>
          <w:rFonts w:asciiTheme="minorHAnsi" w:hAnsiTheme="minorHAnsi"/>
          <w:b/>
          <w:color w:val="FF0000"/>
          <w:sz w:val="22"/>
          <w:szCs w:val="22"/>
        </w:rPr>
        <w:t>Caractéristique :</w:t>
      </w:r>
    </w:p>
    <w:p w:rsidR="0009103C" w:rsidRPr="006A1734" w:rsidRDefault="0009103C" w:rsidP="0009103C">
      <w:pPr>
        <w:numPr>
          <w:ilvl w:val="0"/>
          <w:numId w:val="4"/>
        </w:numPr>
        <w:tabs>
          <w:tab w:val="left" w:pos="5103"/>
        </w:tabs>
        <w:rPr>
          <w:rFonts w:asciiTheme="minorHAnsi" w:hAnsiTheme="minorHAnsi"/>
          <w:b/>
          <w:color w:val="0000FF"/>
          <w:sz w:val="22"/>
          <w:szCs w:val="22"/>
        </w:rPr>
      </w:pPr>
      <w:r w:rsidRPr="006A1734">
        <w:rPr>
          <w:rFonts w:asciiTheme="minorHAnsi" w:hAnsiTheme="minorHAnsi"/>
          <w:b/>
          <w:color w:val="0000FF"/>
          <w:sz w:val="22"/>
          <w:szCs w:val="22"/>
        </w:rPr>
        <w:t>macroscopie :</w:t>
      </w:r>
    </w:p>
    <w:p w:rsidR="0009103C" w:rsidRPr="006A1734" w:rsidRDefault="0009103C" w:rsidP="0009103C">
      <w:pPr>
        <w:numPr>
          <w:ilvl w:val="0"/>
          <w:numId w:val="5"/>
        </w:numPr>
        <w:tabs>
          <w:tab w:val="left" w:pos="5103"/>
        </w:tabs>
        <w:rPr>
          <w:rFonts w:asciiTheme="minorHAnsi" w:hAnsiTheme="minorHAnsi"/>
          <w:b/>
          <w:sz w:val="22"/>
          <w:szCs w:val="22"/>
        </w:rPr>
      </w:pPr>
      <w:r w:rsidRPr="006A1734">
        <w:rPr>
          <w:rFonts w:asciiTheme="minorHAnsi" w:hAnsiTheme="minorHAnsi"/>
          <w:b/>
          <w:sz w:val="22"/>
          <w:szCs w:val="22"/>
        </w:rPr>
        <w:t>foyers nodulaires</w:t>
      </w:r>
      <w:r w:rsidR="00A60D00" w:rsidRPr="006A1734">
        <w:rPr>
          <w:rFonts w:asciiTheme="minorHAnsi" w:hAnsiTheme="minorHAnsi"/>
          <w:b/>
          <w:sz w:val="22"/>
          <w:szCs w:val="22"/>
        </w:rPr>
        <w:t xml:space="preserve"> : </w:t>
      </w:r>
    </w:p>
    <w:p w:rsidR="00A60D00" w:rsidRPr="006A1734" w:rsidRDefault="00A60D00" w:rsidP="00A60D00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granulations miliaire : arrondies ou ovalaire </w:t>
      </w:r>
    </w:p>
    <w:p w:rsidR="00A60D00" w:rsidRPr="006A1734" w:rsidRDefault="00A60D00" w:rsidP="00A60D00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>tubercules miliaires : petits</w:t>
      </w:r>
      <w:r w:rsidR="002736BD">
        <w:rPr>
          <w:rFonts w:asciiTheme="minorHAnsi" w:hAnsiTheme="minorHAnsi"/>
          <w:sz w:val="22"/>
          <w:szCs w:val="22"/>
        </w:rPr>
        <w:t xml:space="preserve"> nodules</w:t>
      </w:r>
      <w:r w:rsidRPr="006A1734">
        <w:rPr>
          <w:rFonts w:asciiTheme="minorHAnsi" w:hAnsiTheme="minorHAnsi"/>
          <w:sz w:val="22"/>
          <w:szCs w:val="22"/>
        </w:rPr>
        <w:t xml:space="preserve"> gris semi transparent de 1 à 6mm</w:t>
      </w:r>
    </w:p>
    <w:p w:rsidR="00A60D00" w:rsidRPr="006A1734" w:rsidRDefault="00A60D00" w:rsidP="00A60D00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tubercules enkysté : 3 à </w:t>
      </w:r>
      <w:smartTag w:uri="urn:schemas-microsoft-com:office:smarttags" w:element="metricconverter">
        <w:smartTagPr>
          <w:attr w:name="ProductID" w:val="10 cm"/>
        </w:smartTagPr>
        <w:r w:rsidRPr="006A1734">
          <w:rPr>
            <w:rFonts w:asciiTheme="minorHAnsi" w:hAnsiTheme="minorHAnsi"/>
            <w:sz w:val="22"/>
            <w:szCs w:val="22"/>
          </w:rPr>
          <w:t>10 cm</w:t>
        </w:r>
      </w:smartTag>
      <w:r w:rsidRPr="006A1734">
        <w:rPr>
          <w:rFonts w:asciiTheme="minorHAnsi" w:hAnsiTheme="minorHAnsi"/>
          <w:sz w:val="22"/>
          <w:szCs w:val="22"/>
        </w:rPr>
        <w:t xml:space="preserve"> de diamètre entouré par une coque grise lisse, le caséum peut s’endurcir comme de la pierre (tubercule crétacé de Laennec) </w:t>
      </w:r>
    </w:p>
    <w:p w:rsidR="00A60D00" w:rsidRPr="006A1734" w:rsidRDefault="00A60D00" w:rsidP="00A60D00">
      <w:pPr>
        <w:tabs>
          <w:tab w:val="left" w:pos="5103"/>
        </w:tabs>
        <w:ind w:left="360"/>
        <w:rPr>
          <w:rFonts w:asciiTheme="minorHAnsi" w:hAnsiTheme="minorHAnsi"/>
          <w:sz w:val="22"/>
          <w:szCs w:val="22"/>
        </w:rPr>
      </w:pPr>
    </w:p>
    <w:p w:rsidR="0009103C" w:rsidRPr="006A1734" w:rsidRDefault="0009103C" w:rsidP="0009103C">
      <w:pPr>
        <w:numPr>
          <w:ilvl w:val="0"/>
          <w:numId w:val="5"/>
        </w:numPr>
        <w:tabs>
          <w:tab w:val="left" w:pos="5103"/>
        </w:tabs>
        <w:rPr>
          <w:rFonts w:asciiTheme="minorHAnsi" w:hAnsiTheme="minorHAnsi"/>
          <w:b/>
          <w:sz w:val="22"/>
          <w:szCs w:val="22"/>
        </w:rPr>
      </w:pPr>
      <w:r w:rsidRPr="006A1734">
        <w:rPr>
          <w:rFonts w:asciiTheme="minorHAnsi" w:hAnsiTheme="minorHAnsi"/>
          <w:b/>
          <w:sz w:val="22"/>
          <w:szCs w:val="22"/>
        </w:rPr>
        <w:t>foyers diffus</w:t>
      </w:r>
      <w:r w:rsidR="00A60D00" w:rsidRPr="006A1734">
        <w:rPr>
          <w:rFonts w:asciiTheme="minorHAnsi" w:hAnsiTheme="minorHAnsi"/>
          <w:b/>
          <w:sz w:val="22"/>
          <w:szCs w:val="22"/>
        </w:rPr>
        <w:t> :</w:t>
      </w:r>
    </w:p>
    <w:p w:rsidR="00A60D00" w:rsidRPr="006A1734" w:rsidRDefault="00A60D00" w:rsidP="00A60D00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correspond à la confluence de plage de nécrose </w:t>
      </w:r>
    </w:p>
    <w:p w:rsidR="00A60D00" w:rsidRPr="006A1734" w:rsidRDefault="00A60D00" w:rsidP="00A60D00">
      <w:pPr>
        <w:tabs>
          <w:tab w:val="left" w:pos="5103"/>
        </w:tabs>
        <w:ind w:left="360"/>
        <w:rPr>
          <w:rFonts w:asciiTheme="minorHAnsi" w:hAnsiTheme="minorHAnsi"/>
          <w:sz w:val="22"/>
          <w:szCs w:val="22"/>
        </w:rPr>
      </w:pPr>
    </w:p>
    <w:p w:rsidR="0009103C" w:rsidRPr="006A1734" w:rsidRDefault="0009103C" w:rsidP="0009103C">
      <w:pPr>
        <w:numPr>
          <w:ilvl w:val="0"/>
          <w:numId w:val="5"/>
        </w:numPr>
        <w:tabs>
          <w:tab w:val="left" w:pos="5103"/>
        </w:tabs>
        <w:rPr>
          <w:rFonts w:asciiTheme="minorHAnsi" w:hAnsiTheme="minorHAnsi"/>
          <w:b/>
          <w:sz w:val="22"/>
          <w:szCs w:val="22"/>
        </w:rPr>
      </w:pPr>
      <w:r w:rsidRPr="006A1734">
        <w:rPr>
          <w:rFonts w:asciiTheme="minorHAnsi" w:hAnsiTheme="minorHAnsi"/>
          <w:b/>
          <w:sz w:val="22"/>
          <w:szCs w:val="22"/>
        </w:rPr>
        <w:t>effets de ramollissement</w:t>
      </w:r>
      <w:r w:rsidR="00A60D00" w:rsidRPr="006A1734">
        <w:rPr>
          <w:rFonts w:asciiTheme="minorHAnsi" w:hAnsiTheme="minorHAnsi"/>
          <w:b/>
          <w:sz w:val="22"/>
          <w:szCs w:val="22"/>
        </w:rPr>
        <w:t> :</w:t>
      </w:r>
    </w:p>
    <w:p w:rsidR="00A60D00" w:rsidRPr="006A1734" w:rsidRDefault="00A60D00" w:rsidP="00A60D00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le </w:t>
      </w:r>
      <w:r w:rsidRPr="002736BD">
        <w:rPr>
          <w:rFonts w:asciiTheme="minorHAnsi" w:hAnsiTheme="minorHAnsi"/>
          <w:sz w:val="22"/>
          <w:szCs w:val="22"/>
          <w:highlight w:val="yellow"/>
        </w:rPr>
        <w:t>caséum ramolli tend à s’évacuer</w:t>
      </w:r>
      <w:r w:rsidR="00407F18" w:rsidRPr="002736BD">
        <w:rPr>
          <w:rFonts w:asciiTheme="minorHAnsi" w:hAnsiTheme="minorHAnsi"/>
          <w:sz w:val="22"/>
          <w:szCs w:val="22"/>
          <w:highlight w:val="yellow"/>
        </w:rPr>
        <w:t xml:space="preserve"> (ne se résorbe jamais)</w:t>
      </w:r>
      <w:r w:rsidR="00407F18" w:rsidRPr="006A1734">
        <w:rPr>
          <w:rFonts w:asciiTheme="minorHAnsi" w:hAnsiTheme="minorHAnsi"/>
          <w:sz w:val="22"/>
          <w:szCs w:val="22"/>
        </w:rPr>
        <w:t xml:space="preserve"> </w:t>
      </w:r>
    </w:p>
    <w:p w:rsidR="00A60D00" w:rsidRPr="006A1734" w:rsidRDefault="00A60D00" w:rsidP="00A60D00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à travers un revêtement (ulcération), ou un conduit de drainage (caverne) </w:t>
      </w:r>
    </w:p>
    <w:p w:rsidR="0009103C" w:rsidRPr="006A1734" w:rsidRDefault="0009103C" w:rsidP="0009103C">
      <w:pPr>
        <w:tabs>
          <w:tab w:val="left" w:pos="5103"/>
        </w:tabs>
        <w:ind w:left="360"/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 </w:t>
      </w:r>
    </w:p>
    <w:p w:rsidR="0009103C" w:rsidRPr="006A1734" w:rsidRDefault="0009103C" w:rsidP="0009103C">
      <w:pPr>
        <w:numPr>
          <w:ilvl w:val="0"/>
          <w:numId w:val="4"/>
        </w:numPr>
        <w:tabs>
          <w:tab w:val="left" w:pos="5103"/>
        </w:tabs>
        <w:rPr>
          <w:rFonts w:asciiTheme="minorHAnsi" w:hAnsiTheme="minorHAnsi"/>
          <w:b/>
          <w:color w:val="0000FF"/>
          <w:sz w:val="22"/>
          <w:szCs w:val="22"/>
        </w:rPr>
      </w:pPr>
      <w:r w:rsidRPr="006A1734">
        <w:rPr>
          <w:rFonts w:asciiTheme="minorHAnsi" w:hAnsiTheme="minorHAnsi"/>
          <w:b/>
          <w:color w:val="0000FF"/>
          <w:sz w:val="22"/>
          <w:szCs w:val="22"/>
        </w:rPr>
        <w:t>microscopie</w:t>
      </w:r>
    </w:p>
    <w:p w:rsidR="00A60D00" w:rsidRPr="006A1734" w:rsidRDefault="0009103C" w:rsidP="00A60D00">
      <w:pPr>
        <w:numPr>
          <w:ilvl w:val="0"/>
          <w:numId w:val="6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b/>
          <w:sz w:val="22"/>
          <w:szCs w:val="22"/>
        </w:rPr>
        <w:t xml:space="preserve">lésions </w:t>
      </w:r>
      <w:r w:rsidR="00A60D00" w:rsidRPr="006A1734">
        <w:rPr>
          <w:rFonts w:asciiTheme="minorHAnsi" w:hAnsiTheme="minorHAnsi"/>
          <w:b/>
          <w:sz w:val="22"/>
          <w:szCs w:val="22"/>
        </w:rPr>
        <w:t>exsudatives</w:t>
      </w:r>
      <w:r w:rsidR="00377B2E" w:rsidRPr="006A1734">
        <w:rPr>
          <w:rFonts w:asciiTheme="minorHAnsi" w:hAnsiTheme="minorHAnsi"/>
          <w:sz w:val="22"/>
          <w:szCs w:val="22"/>
        </w:rPr>
        <w:t xml:space="preserve"> (l’alvéolite catarrhale)</w:t>
      </w:r>
    </w:p>
    <w:p w:rsidR="00A60D00" w:rsidRPr="006A1734" w:rsidRDefault="00A60D00" w:rsidP="00A60D00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>alvéolite macrophagique : l’acinus alvéolaire est comblé par les macrophage</w:t>
      </w:r>
      <w:r w:rsidR="00377B2E" w:rsidRPr="006A1734">
        <w:rPr>
          <w:rFonts w:asciiTheme="minorHAnsi" w:hAnsiTheme="minorHAnsi"/>
          <w:sz w:val="22"/>
          <w:szCs w:val="22"/>
        </w:rPr>
        <w:t>s</w:t>
      </w:r>
      <w:r w:rsidRPr="006A1734">
        <w:rPr>
          <w:rFonts w:asciiTheme="minorHAnsi" w:hAnsiTheme="minorHAnsi"/>
          <w:sz w:val="22"/>
          <w:szCs w:val="22"/>
        </w:rPr>
        <w:t xml:space="preserve"> d’origine histiocytaire et </w:t>
      </w:r>
      <w:proofErr w:type="spellStart"/>
      <w:r w:rsidRPr="006A1734">
        <w:rPr>
          <w:rFonts w:asciiTheme="minorHAnsi" w:hAnsiTheme="minorHAnsi"/>
          <w:sz w:val="22"/>
          <w:szCs w:val="22"/>
        </w:rPr>
        <w:t>moncytaire</w:t>
      </w:r>
      <w:proofErr w:type="spellEnd"/>
      <w:r w:rsidRPr="006A1734">
        <w:rPr>
          <w:rFonts w:asciiTheme="minorHAnsi" w:hAnsiTheme="minorHAnsi"/>
          <w:sz w:val="22"/>
          <w:szCs w:val="22"/>
        </w:rPr>
        <w:t xml:space="preserve"> + BK intra et extra cellula</w:t>
      </w:r>
      <w:r w:rsidR="00377B2E" w:rsidRPr="006A1734">
        <w:rPr>
          <w:rFonts w:asciiTheme="minorHAnsi" w:hAnsiTheme="minorHAnsi"/>
          <w:sz w:val="22"/>
          <w:szCs w:val="22"/>
        </w:rPr>
        <w:t>ire (lyse cellulaire)</w:t>
      </w:r>
    </w:p>
    <w:p w:rsidR="00A60D00" w:rsidRPr="006A1734" w:rsidRDefault="00A60D00" w:rsidP="00A60D00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>alvéolite caséeuse</w:t>
      </w:r>
      <w:r w:rsidR="00377B2E" w:rsidRPr="006A1734">
        <w:rPr>
          <w:rFonts w:asciiTheme="minorHAnsi" w:hAnsiTheme="minorHAnsi"/>
          <w:sz w:val="22"/>
          <w:szCs w:val="22"/>
        </w:rPr>
        <w:t xml:space="preserve"> : zone centrale de nécrose caséeuse due aux débris cellulaires </w:t>
      </w:r>
    </w:p>
    <w:p w:rsidR="00377B2E" w:rsidRPr="006A1734" w:rsidRDefault="00377B2E" w:rsidP="00377B2E">
      <w:pPr>
        <w:tabs>
          <w:tab w:val="left" w:pos="5103"/>
        </w:tabs>
        <w:ind w:left="360"/>
        <w:rPr>
          <w:rFonts w:asciiTheme="minorHAnsi" w:hAnsiTheme="minorHAnsi"/>
          <w:sz w:val="22"/>
          <w:szCs w:val="22"/>
        </w:rPr>
      </w:pPr>
    </w:p>
    <w:p w:rsidR="00A60D00" w:rsidRPr="006A1734" w:rsidRDefault="00A60D00" w:rsidP="00A60D00">
      <w:pPr>
        <w:numPr>
          <w:ilvl w:val="0"/>
          <w:numId w:val="6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b/>
          <w:sz w:val="22"/>
          <w:szCs w:val="22"/>
        </w:rPr>
        <w:t>lésions folliculaires</w:t>
      </w:r>
      <w:r w:rsidR="00377B2E" w:rsidRPr="006A1734">
        <w:rPr>
          <w:rFonts w:asciiTheme="minorHAnsi" w:hAnsiTheme="minorHAnsi"/>
          <w:sz w:val="22"/>
          <w:szCs w:val="22"/>
        </w:rPr>
        <w:t> : lésion caractéristique</w:t>
      </w:r>
      <w:r w:rsidR="002736BD">
        <w:rPr>
          <w:rFonts w:asciiTheme="minorHAnsi" w:hAnsiTheme="minorHAnsi"/>
          <w:sz w:val="22"/>
          <w:szCs w:val="22"/>
        </w:rPr>
        <w:t>,</w:t>
      </w:r>
      <w:r w:rsidR="00377B2E" w:rsidRPr="006A1734">
        <w:rPr>
          <w:rFonts w:asciiTheme="minorHAnsi" w:hAnsiTheme="minorHAnsi"/>
          <w:sz w:val="22"/>
          <w:szCs w:val="22"/>
        </w:rPr>
        <w:t xml:space="preserve"> de la périphérie au centre</w:t>
      </w:r>
    </w:p>
    <w:p w:rsidR="00377B2E" w:rsidRPr="006A1734" w:rsidRDefault="00377B2E" w:rsidP="00377B2E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cellules </w:t>
      </w:r>
      <w:proofErr w:type="spellStart"/>
      <w:r w:rsidRPr="006A1734">
        <w:rPr>
          <w:rFonts w:asciiTheme="minorHAnsi" w:hAnsiTheme="minorHAnsi"/>
          <w:sz w:val="22"/>
          <w:szCs w:val="22"/>
        </w:rPr>
        <w:t>épithéloïdes</w:t>
      </w:r>
      <w:proofErr w:type="spellEnd"/>
      <w:r w:rsidRPr="006A1734">
        <w:rPr>
          <w:rFonts w:asciiTheme="minorHAnsi" w:hAnsiTheme="minorHAnsi"/>
          <w:sz w:val="22"/>
          <w:szCs w:val="22"/>
        </w:rPr>
        <w:t> : grande</w:t>
      </w:r>
      <w:r w:rsidR="002736BD">
        <w:rPr>
          <w:rFonts w:asciiTheme="minorHAnsi" w:hAnsiTheme="minorHAnsi"/>
          <w:sz w:val="22"/>
          <w:szCs w:val="22"/>
        </w:rPr>
        <w:t>s</w:t>
      </w:r>
      <w:r w:rsidRPr="006A1734">
        <w:rPr>
          <w:rFonts w:asciiTheme="minorHAnsi" w:hAnsiTheme="minorHAnsi"/>
          <w:sz w:val="22"/>
          <w:szCs w:val="22"/>
        </w:rPr>
        <w:t xml:space="preserve"> cellules allongées en semelle de chaussure </w:t>
      </w:r>
    </w:p>
    <w:p w:rsidR="00377B2E" w:rsidRPr="006A1734" w:rsidRDefault="00377B2E" w:rsidP="00377B2E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>cellules géantes de Langhans : grande</w:t>
      </w:r>
      <w:r w:rsidR="002736BD">
        <w:rPr>
          <w:rFonts w:asciiTheme="minorHAnsi" w:hAnsiTheme="minorHAnsi"/>
          <w:sz w:val="22"/>
          <w:szCs w:val="22"/>
        </w:rPr>
        <w:t>s</w:t>
      </w:r>
      <w:r w:rsidRPr="006A1734">
        <w:rPr>
          <w:rFonts w:asciiTheme="minorHAnsi" w:hAnsiTheme="minorHAnsi"/>
          <w:sz w:val="22"/>
          <w:szCs w:val="22"/>
        </w:rPr>
        <w:t xml:space="preserve"> cellule</w:t>
      </w:r>
      <w:r w:rsidR="002736BD">
        <w:rPr>
          <w:rFonts w:asciiTheme="minorHAnsi" w:hAnsiTheme="minorHAnsi"/>
          <w:sz w:val="22"/>
          <w:szCs w:val="22"/>
        </w:rPr>
        <w:t>s</w:t>
      </w:r>
      <w:r w:rsidRPr="006A1734">
        <w:rPr>
          <w:rFonts w:asciiTheme="minorHAnsi" w:hAnsiTheme="minorHAnsi"/>
          <w:sz w:val="22"/>
          <w:szCs w:val="22"/>
        </w:rPr>
        <w:t xml:space="preserve"> plurinucléé</w:t>
      </w:r>
      <w:r w:rsidR="002736BD">
        <w:rPr>
          <w:rFonts w:asciiTheme="minorHAnsi" w:hAnsiTheme="minorHAnsi"/>
          <w:sz w:val="22"/>
          <w:szCs w:val="22"/>
        </w:rPr>
        <w:t>s</w:t>
      </w:r>
      <w:r w:rsidRPr="006A1734">
        <w:rPr>
          <w:rFonts w:asciiTheme="minorHAnsi" w:hAnsiTheme="minorHAnsi"/>
          <w:sz w:val="22"/>
          <w:szCs w:val="22"/>
        </w:rPr>
        <w:t>, noyaux disposé</w:t>
      </w:r>
      <w:r w:rsidR="002736BD">
        <w:rPr>
          <w:rFonts w:asciiTheme="minorHAnsi" w:hAnsiTheme="minorHAnsi"/>
          <w:sz w:val="22"/>
          <w:szCs w:val="22"/>
        </w:rPr>
        <w:t>s</w:t>
      </w:r>
      <w:r w:rsidRPr="006A1734">
        <w:rPr>
          <w:rFonts w:asciiTheme="minorHAnsi" w:hAnsiTheme="minorHAnsi"/>
          <w:sz w:val="22"/>
          <w:szCs w:val="22"/>
        </w:rPr>
        <w:t xml:space="preserve"> en couronne </w:t>
      </w:r>
    </w:p>
    <w:p w:rsidR="00377B2E" w:rsidRPr="006A1734" w:rsidRDefault="00377B2E" w:rsidP="00377B2E">
      <w:pPr>
        <w:numPr>
          <w:ilvl w:val="0"/>
          <w:numId w:val="7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nécrose caséeuse : nécrose d’homogénéisation, </w:t>
      </w:r>
      <w:r w:rsidRPr="002736BD">
        <w:rPr>
          <w:rFonts w:asciiTheme="minorHAnsi" w:hAnsiTheme="minorHAnsi"/>
          <w:color w:val="FF0000"/>
          <w:sz w:val="22"/>
          <w:szCs w:val="22"/>
        </w:rPr>
        <w:t>substance éosinophile</w:t>
      </w:r>
      <w:r w:rsidR="002736BD" w:rsidRPr="002736BD">
        <w:rPr>
          <w:rFonts w:asciiTheme="minorHAnsi" w:hAnsiTheme="minorHAnsi"/>
          <w:color w:val="FF0000"/>
          <w:sz w:val="22"/>
          <w:szCs w:val="22"/>
        </w:rPr>
        <w:t xml:space="preserve"> anhiste</w:t>
      </w:r>
      <w:r w:rsidR="00407F18" w:rsidRPr="006A1734">
        <w:rPr>
          <w:rFonts w:asciiTheme="minorHAnsi" w:hAnsiTheme="minorHAnsi"/>
          <w:sz w:val="22"/>
          <w:szCs w:val="22"/>
        </w:rPr>
        <w:t xml:space="preserve"> (DC de certitude)</w:t>
      </w:r>
    </w:p>
    <w:p w:rsidR="00377B2E" w:rsidRPr="006A1734" w:rsidRDefault="00377B2E" w:rsidP="00377B2E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l’ensemble du foyer est entouré d’une armature de collagène, fibroblastes, et lymphocytes </w:t>
      </w:r>
    </w:p>
    <w:p w:rsidR="00377B2E" w:rsidRPr="006A1734" w:rsidRDefault="00377B2E" w:rsidP="00377B2E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lésion folliculaire simple + caséum = </w:t>
      </w:r>
      <w:proofErr w:type="spellStart"/>
      <w:r w:rsidRPr="006A1734">
        <w:rPr>
          <w:rFonts w:asciiTheme="minorHAnsi" w:hAnsiTheme="minorHAnsi"/>
          <w:sz w:val="22"/>
          <w:szCs w:val="22"/>
        </w:rPr>
        <w:t>caséo</w:t>
      </w:r>
      <w:proofErr w:type="spellEnd"/>
      <w:r w:rsidRPr="006A1734">
        <w:rPr>
          <w:rFonts w:asciiTheme="minorHAnsi" w:hAnsiTheme="minorHAnsi"/>
          <w:sz w:val="22"/>
          <w:szCs w:val="22"/>
        </w:rPr>
        <w:t xml:space="preserve">-follicule </w:t>
      </w:r>
    </w:p>
    <w:p w:rsidR="00377B2E" w:rsidRPr="006A1734" w:rsidRDefault="00377B2E" w:rsidP="00377B2E">
      <w:pPr>
        <w:tabs>
          <w:tab w:val="left" w:pos="5103"/>
        </w:tabs>
        <w:ind w:left="360"/>
        <w:rPr>
          <w:rFonts w:asciiTheme="minorHAnsi" w:hAnsiTheme="minorHAnsi"/>
          <w:sz w:val="22"/>
          <w:szCs w:val="22"/>
        </w:rPr>
      </w:pPr>
    </w:p>
    <w:p w:rsidR="0009103C" w:rsidRPr="006A1734" w:rsidRDefault="00A60D00" w:rsidP="00A60D00">
      <w:pPr>
        <w:numPr>
          <w:ilvl w:val="0"/>
          <w:numId w:val="6"/>
        </w:numPr>
        <w:tabs>
          <w:tab w:val="left" w:pos="5103"/>
        </w:tabs>
        <w:rPr>
          <w:rFonts w:asciiTheme="minorHAnsi" w:hAnsiTheme="minorHAnsi"/>
          <w:b/>
          <w:sz w:val="22"/>
          <w:szCs w:val="22"/>
        </w:rPr>
      </w:pPr>
      <w:r w:rsidRPr="006A1734">
        <w:rPr>
          <w:rFonts w:asciiTheme="minorHAnsi" w:hAnsiTheme="minorHAnsi"/>
          <w:b/>
          <w:sz w:val="22"/>
          <w:szCs w:val="22"/>
        </w:rPr>
        <w:t xml:space="preserve">lésion enkystée </w:t>
      </w:r>
      <w:r w:rsidR="0009103C" w:rsidRPr="006A1734">
        <w:rPr>
          <w:rFonts w:asciiTheme="minorHAnsi" w:hAnsiTheme="minorHAnsi"/>
          <w:b/>
          <w:sz w:val="22"/>
          <w:szCs w:val="22"/>
        </w:rPr>
        <w:t xml:space="preserve"> </w:t>
      </w:r>
    </w:p>
    <w:p w:rsidR="00377B2E" w:rsidRPr="006A1734" w:rsidRDefault="00377B2E" w:rsidP="00377B2E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>la sclérose collagène imprégnée de calcium, calcification du caséum</w:t>
      </w:r>
    </w:p>
    <w:p w:rsidR="00407F18" w:rsidRPr="006A1734" w:rsidRDefault="00407F18" w:rsidP="00407F18">
      <w:pPr>
        <w:tabs>
          <w:tab w:val="left" w:pos="5103"/>
        </w:tabs>
        <w:rPr>
          <w:rFonts w:asciiTheme="minorHAnsi" w:hAnsiTheme="minorHAnsi"/>
          <w:sz w:val="22"/>
          <w:szCs w:val="22"/>
        </w:rPr>
      </w:pPr>
    </w:p>
    <w:p w:rsidR="00407F18" w:rsidRPr="006A1734" w:rsidRDefault="00407F18" w:rsidP="00407F18">
      <w:pPr>
        <w:tabs>
          <w:tab w:val="left" w:pos="5103"/>
        </w:tabs>
        <w:rPr>
          <w:rFonts w:asciiTheme="minorHAnsi" w:hAnsiTheme="minorHAnsi"/>
          <w:sz w:val="22"/>
          <w:szCs w:val="22"/>
        </w:rPr>
      </w:pPr>
    </w:p>
    <w:p w:rsidR="00407F18" w:rsidRPr="006A1734" w:rsidRDefault="00407F18" w:rsidP="00407F18">
      <w:pPr>
        <w:tabs>
          <w:tab w:val="left" w:pos="5103"/>
        </w:tabs>
        <w:rPr>
          <w:rFonts w:asciiTheme="minorHAnsi" w:hAnsiTheme="minorHAnsi"/>
          <w:b/>
          <w:color w:val="FF0000"/>
          <w:sz w:val="22"/>
          <w:szCs w:val="22"/>
        </w:rPr>
      </w:pPr>
      <w:r w:rsidRPr="006A1734">
        <w:rPr>
          <w:rFonts w:asciiTheme="minorHAnsi" w:hAnsiTheme="minorHAnsi"/>
          <w:b/>
          <w:color w:val="FF0000"/>
          <w:sz w:val="22"/>
          <w:szCs w:val="22"/>
        </w:rPr>
        <w:t>TUBERCULOSE PLEURALE :</w:t>
      </w:r>
    </w:p>
    <w:p w:rsidR="00407F18" w:rsidRPr="006A1734" w:rsidRDefault="00407F18" w:rsidP="00407F18">
      <w:pPr>
        <w:tabs>
          <w:tab w:val="left" w:pos="5103"/>
        </w:tabs>
        <w:rPr>
          <w:rFonts w:asciiTheme="minorHAnsi" w:hAnsiTheme="minorHAnsi"/>
          <w:sz w:val="22"/>
          <w:szCs w:val="22"/>
        </w:rPr>
      </w:pPr>
    </w:p>
    <w:p w:rsidR="00407F18" w:rsidRPr="006A1734" w:rsidRDefault="00407F18" w:rsidP="00407F18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>se manifeste par un épanchement séro-fibrineux ou hémorragie</w:t>
      </w:r>
    </w:p>
    <w:p w:rsidR="00407F18" w:rsidRPr="006A1734" w:rsidRDefault="002736BD" w:rsidP="00407F18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ét</w:t>
      </w:r>
      <w:r w:rsidR="00407F18" w:rsidRPr="006A1734">
        <w:rPr>
          <w:rFonts w:asciiTheme="minorHAnsi" w:hAnsiTheme="minorHAnsi"/>
          <w:sz w:val="22"/>
          <w:szCs w:val="22"/>
        </w:rPr>
        <w:t xml:space="preserve">ude histologique : lésions folliculaires ou </w:t>
      </w:r>
      <w:proofErr w:type="spellStart"/>
      <w:r w:rsidR="00407F18" w:rsidRPr="006A1734">
        <w:rPr>
          <w:rFonts w:asciiTheme="minorHAnsi" w:hAnsiTheme="minorHAnsi"/>
          <w:sz w:val="22"/>
          <w:szCs w:val="22"/>
        </w:rPr>
        <w:t>caséo</w:t>
      </w:r>
      <w:proofErr w:type="spellEnd"/>
      <w:r w:rsidR="00407F18" w:rsidRPr="006A1734">
        <w:rPr>
          <w:rFonts w:asciiTheme="minorHAnsi" w:hAnsiTheme="minorHAnsi"/>
          <w:sz w:val="22"/>
          <w:szCs w:val="22"/>
        </w:rPr>
        <w:t xml:space="preserve">-follicule </w:t>
      </w:r>
    </w:p>
    <w:p w:rsidR="00407F18" w:rsidRPr="006A1734" w:rsidRDefault="00407F18" w:rsidP="00407F18">
      <w:pPr>
        <w:numPr>
          <w:ilvl w:val="0"/>
          <w:numId w:val="3"/>
        </w:numPr>
        <w:tabs>
          <w:tab w:val="left" w:pos="5103"/>
        </w:tabs>
        <w:rPr>
          <w:rFonts w:asciiTheme="minorHAnsi" w:hAnsiTheme="minorHAnsi"/>
          <w:sz w:val="22"/>
          <w:szCs w:val="22"/>
        </w:rPr>
      </w:pPr>
      <w:r w:rsidRPr="006A1734">
        <w:rPr>
          <w:rFonts w:asciiTheme="minorHAnsi" w:hAnsiTheme="minorHAnsi"/>
          <w:sz w:val="22"/>
          <w:szCs w:val="22"/>
        </w:rPr>
        <w:t xml:space="preserve">principale complication : </w:t>
      </w:r>
      <w:proofErr w:type="spellStart"/>
      <w:r w:rsidRPr="006A1734">
        <w:rPr>
          <w:rFonts w:asciiTheme="minorHAnsi" w:hAnsiTheme="minorHAnsi"/>
          <w:sz w:val="22"/>
          <w:szCs w:val="22"/>
        </w:rPr>
        <w:t>pachypleurite</w:t>
      </w:r>
      <w:proofErr w:type="spellEnd"/>
      <w:r w:rsidRPr="006A1734">
        <w:rPr>
          <w:rFonts w:asciiTheme="minorHAnsi" w:hAnsiTheme="minorHAnsi"/>
          <w:sz w:val="22"/>
          <w:szCs w:val="22"/>
        </w:rPr>
        <w:t xml:space="preserve"> (épais trousseaux de collagène calcifiés)</w:t>
      </w:r>
    </w:p>
    <w:p w:rsidR="00377B2E" w:rsidRPr="006A1734" w:rsidRDefault="00377B2E" w:rsidP="00377B2E">
      <w:pPr>
        <w:tabs>
          <w:tab w:val="left" w:pos="5103"/>
        </w:tabs>
        <w:ind w:left="360"/>
        <w:rPr>
          <w:rFonts w:asciiTheme="minorHAnsi" w:hAnsiTheme="minorHAnsi"/>
          <w:sz w:val="22"/>
          <w:szCs w:val="22"/>
        </w:rPr>
      </w:pPr>
    </w:p>
    <w:sectPr w:rsidR="00377B2E" w:rsidRPr="006A1734" w:rsidSect="00407F18">
      <w:pgSz w:w="11906" w:h="16838"/>
      <w:pgMar w:top="1417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4F57"/>
    <w:multiLevelType w:val="hybridMultilevel"/>
    <w:tmpl w:val="D284ADEE"/>
    <w:lvl w:ilvl="0" w:tplc="6AA00D4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D8420F"/>
    <w:multiLevelType w:val="multilevel"/>
    <w:tmpl w:val="849255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937EA8"/>
    <w:multiLevelType w:val="hybridMultilevel"/>
    <w:tmpl w:val="D6061CB8"/>
    <w:lvl w:ilvl="0" w:tplc="2488CA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D3606D"/>
    <w:multiLevelType w:val="hybridMultilevel"/>
    <w:tmpl w:val="7BBC8208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15637B"/>
    <w:multiLevelType w:val="hybridMultilevel"/>
    <w:tmpl w:val="405EEBD0"/>
    <w:lvl w:ilvl="0" w:tplc="AAAC180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045261"/>
    <w:multiLevelType w:val="hybridMultilevel"/>
    <w:tmpl w:val="D9D43722"/>
    <w:lvl w:ilvl="0" w:tplc="040C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A551A4"/>
    <w:multiLevelType w:val="hybridMultilevel"/>
    <w:tmpl w:val="DE3AF650"/>
    <w:lvl w:ilvl="0" w:tplc="1A9ADEA6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48F6601"/>
    <w:multiLevelType w:val="hybridMultilevel"/>
    <w:tmpl w:val="2B942DDE"/>
    <w:lvl w:ilvl="0" w:tplc="35240F1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F57C81"/>
    <w:multiLevelType w:val="hybridMultilevel"/>
    <w:tmpl w:val="F1AAB600"/>
    <w:lvl w:ilvl="0" w:tplc="06FC456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F013FB"/>
    <w:multiLevelType w:val="multilevel"/>
    <w:tmpl w:val="D9D4372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hyphenationZone w:val="425"/>
  <w:characterSpacingControl w:val="doNotCompress"/>
  <w:compat/>
  <w:rsids>
    <w:rsidRoot w:val="00064B8D"/>
    <w:rsid w:val="00064B8D"/>
    <w:rsid w:val="0009103C"/>
    <w:rsid w:val="00257627"/>
    <w:rsid w:val="002736BD"/>
    <w:rsid w:val="00377B2E"/>
    <w:rsid w:val="00407F18"/>
    <w:rsid w:val="005D3E1B"/>
    <w:rsid w:val="006A1734"/>
    <w:rsid w:val="008A0392"/>
    <w:rsid w:val="00A60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762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313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Anapath/ Tuberculose pulmonaire et pleurale</vt:lpstr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Anapath/ Tuberculose pulmonaire et pleurale</dc:title>
  <dc:creator>megh</dc:creator>
  <cp:lastModifiedBy>Lebane</cp:lastModifiedBy>
  <cp:revision>3</cp:revision>
  <dcterms:created xsi:type="dcterms:W3CDTF">2010-03-02T20:24:00Z</dcterms:created>
  <dcterms:modified xsi:type="dcterms:W3CDTF">2010-03-03T12:55:00Z</dcterms:modified>
</cp:coreProperties>
</file>