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5C7E9D" w:rsidRDefault="001645EA" w:rsidP="005C7E9D">
      <w:pPr>
        <w:jc w:val="center"/>
        <w:rPr>
          <w:b/>
          <w:bCs/>
          <w:color w:val="FF0000"/>
        </w:rPr>
      </w:pPr>
      <w:r w:rsidRPr="005C7E9D">
        <w:rPr>
          <w:b/>
          <w:bCs/>
          <w:color w:val="FF0000"/>
        </w:rPr>
        <w:t>Maladie trophoblastique</w:t>
      </w:r>
    </w:p>
    <w:p w:rsidR="001645EA" w:rsidRDefault="001645EA" w:rsidP="001645EA">
      <w:r w:rsidRPr="005C7E9D">
        <w:rPr>
          <w:b/>
          <w:bCs/>
          <w:color w:val="FF0000"/>
        </w:rPr>
        <w:t>Définition :</w:t>
      </w:r>
      <w:r>
        <w:t xml:space="preserve"> ensemble pathologique complexe = mole hydatiforme, mole invasive, choriocarcinome, qui ont pour point commun la prolifération trophoblastique</w:t>
      </w:r>
    </w:p>
    <w:p w:rsidR="001645EA" w:rsidRDefault="001645EA" w:rsidP="001645EA">
      <w:r w:rsidRPr="005C7E9D">
        <w:rPr>
          <w:b/>
          <w:bCs/>
          <w:color w:val="FF0000"/>
        </w:rPr>
        <w:t>Facteurs favorisants</w:t>
      </w:r>
      <w:r>
        <w:t> : âges extrêmes, consanguinité, ATCD de grossesse gémellaire, carence en graisses et en protéines</w:t>
      </w:r>
    </w:p>
    <w:p w:rsidR="00C01FCF" w:rsidRDefault="00C01FCF" w:rsidP="001645EA"/>
    <w:p w:rsidR="001645EA" w:rsidRPr="005C7E9D" w:rsidRDefault="001645EA" w:rsidP="005C7E9D">
      <w:pPr>
        <w:jc w:val="center"/>
        <w:rPr>
          <w:b/>
          <w:bCs/>
          <w:color w:val="FF0000"/>
        </w:rPr>
      </w:pPr>
      <w:r w:rsidRPr="005C7E9D">
        <w:rPr>
          <w:b/>
          <w:bCs/>
          <w:color w:val="FF0000"/>
        </w:rPr>
        <w:t>La mole hydatiforme</w:t>
      </w:r>
    </w:p>
    <w:p w:rsidR="001645EA" w:rsidRDefault="001645EA" w:rsidP="001645EA">
      <w:r w:rsidRPr="005C7E9D">
        <w:rPr>
          <w:b/>
          <w:bCs/>
          <w:color w:val="FF0000"/>
        </w:rPr>
        <w:t>Définition :</w:t>
      </w:r>
      <w:r>
        <w:t xml:space="preserve"> anomalie de l’œuf caractérisée par </w:t>
      </w:r>
      <w:r w:rsidRPr="00EA3639">
        <w:rPr>
          <w:b/>
          <w:bCs/>
          <w:highlight w:val="yellow"/>
        </w:rPr>
        <w:t>l’absence d’embryon</w:t>
      </w:r>
      <w:r>
        <w:t xml:space="preserve">, </w:t>
      </w:r>
      <w:r w:rsidRPr="00EA3639">
        <w:rPr>
          <w:b/>
          <w:bCs/>
          <w:highlight w:val="yellow"/>
        </w:rPr>
        <w:t>transformation kystique des villosités</w:t>
      </w:r>
      <w:r>
        <w:t xml:space="preserve"> et une </w:t>
      </w:r>
      <w:r w:rsidRPr="00EA3639">
        <w:rPr>
          <w:b/>
          <w:bCs/>
          <w:highlight w:val="yellow"/>
        </w:rPr>
        <w:t>hypertrophie du trophoblaste</w:t>
      </w:r>
      <w:r w:rsidR="00AF4534">
        <w:t xml:space="preserve"> responsable d’une </w:t>
      </w:r>
      <w:r w:rsidR="00AF4534" w:rsidRPr="00EA3639">
        <w:rPr>
          <w:b/>
          <w:bCs/>
          <w:highlight w:val="yellow"/>
        </w:rPr>
        <w:t>hypersécrétion d’HCG</w:t>
      </w:r>
    </w:p>
    <w:p w:rsidR="00AF4534" w:rsidRPr="005C7E9D" w:rsidRDefault="00AF4534" w:rsidP="001645EA">
      <w:pPr>
        <w:rPr>
          <w:b/>
          <w:bCs/>
          <w:color w:val="FF0000"/>
        </w:rPr>
      </w:pPr>
      <w:r w:rsidRPr="005C7E9D">
        <w:rPr>
          <w:b/>
          <w:bCs/>
          <w:color w:val="FF0000"/>
        </w:rPr>
        <w:t>Anapath :</w:t>
      </w:r>
    </w:p>
    <w:p w:rsidR="00AF4534" w:rsidRDefault="00AF4534" w:rsidP="00AF4534">
      <w:pPr>
        <w:pStyle w:val="Paragraphedeliste"/>
        <w:numPr>
          <w:ilvl w:val="0"/>
          <w:numId w:val="2"/>
        </w:numPr>
      </w:pPr>
      <w:r>
        <w:t xml:space="preserve">Macro : amas de vésicules translucides reliées par des filaments =&gt; </w:t>
      </w:r>
      <w:r w:rsidRPr="005C7E9D">
        <w:rPr>
          <w:highlight w:val="yellow"/>
        </w:rPr>
        <w:t>aspect en frai de grenouilles</w:t>
      </w:r>
      <w:r>
        <w:t xml:space="preserve"> ou en grappe de raisin + absence d’embryon </w:t>
      </w:r>
    </w:p>
    <w:p w:rsidR="00CB58FC" w:rsidRDefault="00CB58FC" w:rsidP="00AF4534">
      <w:pPr>
        <w:pStyle w:val="Paragraphedeliste"/>
        <w:numPr>
          <w:ilvl w:val="0"/>
          <w:numId w:val="2"/>
        </w:numPr>
      </w:pPr>
      <w:r>
        <w:t xml:space="preserve">Micro : </w:t>
      </w:r>
      <w:r w:rsidRPr="005C7E9D">
        <w:rPr>
          <w:highlight w:val="yellow"/>
        </w:rPr>
        <w:t xml:space="preserve">hyperplasie du </w:t>
      </w:r>
      <w:proofErr w:type="spellStart"/>
      <w:r w:rsidRPr="005C7E9D">
        <w:rPr>
          <w:highlight w:val="yellow"/>
        </w:rPr>
        <w:t>cytosyncitiotrophoblaste</w:t>
      </w:r>
      <w:proofErr w:type="spellEnd"/>
      <w:r>
        <w:t xml:space="preserve">, absence de vx, dystrophie du </w:t>
      </w:r>
      <w:proofErr w:type="spellStart"/>
      <w:r>
        <w:t>T.conjonctif</w:t>
      </w:r>
      <w:proofErr w:type="spellEnd"/>
      <w:r>
        <w:t xml:space="preserve">, œdème du stroma </w:t>
      </w:r>
    </w:p>
    <w:p w:rsidR="00CB58FC" w:rsidRPr="005C7E9D" w:rsidRDefault="00CB58FC" w:rsidP="00CB58FC">
      <w:pPr>
        <w:rPr>
          <w:b/>
          <w:bCs/>
          <w:color w:val="FF0000"/>
        </w:rPr>
      </w:pPr>
      <w:r w:rsidRPr="005C7E9D">
        <w:rPr>
          <w:b/>
          <w:bCs/>
          <w:color w:val="FF0000"/>
        </w:rPr>
        <w:t xml:space="preserve">Clinique : </w:t>
      </w:r>
    </w:p>
    <w:p w:rsidR="00CB58FC" w:rsidRDefault="00CB58FC" w:rsidP="00BE211D">
      <w:pPr>
        <w:pStyle w:val="Paragraphedeliste"/>
        <w:numPr>
          <w:ilvl w:val="0"/>
          <w:numId w:val="2"/>
        </w:numPr>
      </w:pPr>
      <w:r w:rsidRPr="00A92A66">
        <w:rPr>
          <w:highlight w:val="yellow"/>
        </w:rPr>
        <w:t>Métrorragies</w:t>
      </w:r>
      <w:r>
        <w:t xml:space="preserve"> spontanées constantes </w:t>
      </w:r>
      <w:r w:rsidR="00BE211D" w:rsidRPr="00BE211D">
        <w:rPr>
          <w:highlight w:val="yellow"/>
        </w:rPr>
        <w:t>du T1</w:t>
      </w:r>
    </w:p>
    <w:p w:rsidR="00CB58FC" w:rsidRDefault="00CB58FC" w:rsidP="00CB58FC">
      <w:pPr>
        <w:pStyle w:val="Paragraphedeliste"/>
        <w:numPr>
          <w:ilvl w:val="0"/>
          <w:numId w:val="2"/>
        </w:numPr>
      </w:pPr>
      <w:r w:rsidRPr="00A92A66">
        <w:rPr>
          <w:highlight w:val="yellow"/>
        </w:rPr>
        <w:t>AEG</w:t>
      </w:r>
      <w:r>
        <w:t xml:space="preserve"> + Douleurs abdominales à type de colique</w:t>
      </w:r>
    </w:p>
    <w:p w:rsidR="00CB58FC" w:rsidRDefault="00CB58FC" w:rsidP="00CB58FC">
      <w:pPr>
        <w:pStyle w:val="Paragraphedeliste"/>
        <w:numPr>
          <w:ilvl w:val="0"/>
          <w:numId w:val="2"/>
        </w:numPr>
      </w:pPr>
      <w:r>
        <w:t>Signes sympathiques de grossesse exagérés</w:t>
      </w:r>
    </w:p>
    <w:p w:rsidR="00CB58FC" w:rsidRDefault="00CB58FC" w:rsidP="00CB58FC">
      <w:pPr>
        <w:pStyle w:val="Paragraphedeliste"/>
        <w:numPr>
          <w:ilvl w:val="0"/>
          <w:numId w:val="2"/>
        </w:numPr>
      </w:pPr>
      <w:r>
        <w:t xml:space="preserve">Signes d’hyperthyroïdie </w:t>
      </w:r>
    </w:p>
    <w:p w:rsidR="00CB58FC" w:rsidRDefault="00CB58FC" w:rsidP="00CB58FC">
      <w:pPr>
        <w:pStyle w:val="Paragraphedeliste"/>
        <w:numPr>
          <w:ilvl w:val="0"/>
          <w:numId w:val="2"/>
        </w:numPr>
      </w:pPr>
      <w:r>
        <w:t>Signes de toxémie gravidique (œdème, HTA, protéinurie)</w:t>
      </w:r>
    </w:p>
    <w:p w:rsidR="00CB58FC" w:rsidRDefault="00CB58FC" w:rsidP="00CB58FC">
      <w:pPr>
        <w:pStyle w:val="Paragraphedeliste"/>
        <w:numPr>
          <w:ilvl w:val="0"/>
          <w:numId w:val="2"/>
        </w:numPr>
      </w:pPr>
      <w:r w:rsidRPr="00A92A66">
        <w:rPr>
          <w:highlight w:val="yellow"/>
        </w:rPr>
        <w:t xml:space="preserve">Utérus </w:t>
      </w:r>
      <w:r w:rsidR="00A92A66" w:rsidRPr="00A92A66">
        <w:rPr>
          <w:highlight w:val="yellow"/>
        </w:rPr>
        <w:t xml:space="preserve">gros et </w:t>
      </w:r>
      <w:r w:rsidRPr="00A92A66">
        <w:rPr>
          <w:highlight w:val="yellow"/>
        </w:rPr>
        <w:t>accordéon</w:t>
      </w:r>
      <w:r>
        <w:t xml:space="preserve"> : son volume varie d’un examen à l’autre </w:t>
      </w:r>
    </w:p>
    <w:p w:rsidR="00CB58FC" w:rsidRDefault="00CB58FC" w:rsidP="00CB58FC">
      <w:pPr>
        <w:pStyle w:val="Paragraphedeliste"/>
        <w:numPr>
          <w:ilvl w:val="0"/>
          <w:numId w:val="2"/>
        </w:numPr>
      </w:pPr>
      <w:r>
        <w:t xml:space="preserve">TV : CDS latéraux </w:t>
      </w:r>
      <w:r w:rsidR="00A92A66">
        <w:t xml:space="preserve">occupés par des </w:t>
      </w:r>
      <w:r w:rsidR="00A92A66" w:rsidRPr="00A92A66">
        <w:rPr>
          <w:highlight w:val="yellow"/>
        </w:rPr>
        <w:t>kystes ovariens</w:t>
      </w:r>
    </w:p>
    <w:p w:rsidR="00CB58FC" w:rsidRDefault="00CB58FC" w:rsidP="00CB58FC">
      <w:pPr>
        <w:pStyle w:val="Paragraphedeliste"/>
        <w:numPr>
          <w:ilvl w:val="0"/>
          <w:numId w:val="2"/>
        </w:numPr>
      </w:pPr>
      <w:r w:rsidRPr="00A92A66">
        <w:rPr>
          <w:highlight w:val="yellow"/>
        </w:rPr>
        <w:t>Absence de pôles fœtaux, de MAF, de BCF</w:t>
      </w:r>
    </w:p>
    <w:p w:rsidR="00A92A66" w:rsidRPr="005C7E9D" w:rsidRDefault="00A92A66" w:rsidP="00A92A66">
      <w:pPr>
        <w:rPr>
          <w:b/>
          <w:bCs/>
          <w:color w:val="FF0000"/>
        </w:rPr>
      </w:pPr>
      <w:r w:rsidRPr="005C7E9D">
        <w:rPr>
          <w:b/>
          <w:bCs/>
          <w:color w:val="FF0000"/>
        </w:rPr>
        <w:t>Examens complémentaires :</w:t>
      </w:r>
    </w:p>
    <w:p w:rsidR="00A92A66" w:rsidRDefault="00A92A66" w:rsidP="00A92A66">
      <w:pPr>
        <w:pStyle w:val="Paragraphedeliste"/>
        <w:numPr>
          <w:ilvl w:val="0"/>
          <w:numId w:val="3"/>
        </w:numPr>
      </w:pPr>
      <w:r w:rsidRPr="00547F2A">
        <w:rPr>
          <w:b/>
          <w:bCs/>
          <w:highlight w:val="yellow"/>
        </w:rPr>
        <w:t>BHCG↗↗</w:t>
      </w:r>
      <w:r>
        <w:t xml:space="preserve"> (&gt;100000UI/l)</w:t>
      </w:r>
    </w:p>
    <w:p w:rsidR="00A92A66" w:rsidRDefault="00A92A66" w:rsidP="00A92A66">
      <w:pPr>
        <w:pStyle w:val="Paragraphedeliste"/>
        <w:numPr>
          <w:ilvl w:val="0"/>
          <w:numId w:val="3"/>
        </w:numPr>
      </w:pPr>
      <w:r w:rsidRPr="00C01FCF">
        <w:rPr>
          <w:b/>
          <w:bCs/>
        </w:rPr>
        <w:t>Taux de prolan ↗</w:t>
      </w:r>
      <w:r>
        <w:t xml:space="preserve"> (élément de surveillance)</w:t>
      </w:r>
    </w:p>
    <w:p w:rsidR="008653D2" w:rsidRDefault="008653D2" w:rsidP="00A92A66">
      <w:pPr>
        <w:pStyle w:val="Paragraphedeliste"/>
        <w:numPr>
          <w:ilvl w:val="0"/>
          <w:numId w:val="3"/>
        </w:numPr>
      </w:pPr>
      <w:r w:rsidRPr="00C01FCF">
        <w:rPr>
          <w:b/>
          <w:bCs/>
        </w:rPr>
        <w:t>Echo</w:t>
      </w:r>
      <w:r>
        <w:t xml:space="preserve"> : </w:t>
      </w:r>
    </w:p>
    <w:p w:rsidR="008653D2" w:rsidRDefault="008653D2" w:rsidP="008653D2">
      <w:pPr>
        <w:pStyle w:val="Paragraphedeliste"/>
        <w:numPr>
          <w:ilvl w:val="0"/>
          <w:numId w:val="2"/>
        </w:numPr>
      </w:pPr>
      <w:r>
        <w:t xml:space="preserve">image en flocon de neige ou en nid d’abeille, </w:t>
      </w:r>
    </w:p>
    <w:p w:rsidR="008653D2" w:rsidRDefault="008653D2" w:rsidP="008653D2">
      <w:pPr>
        <w:pStyle w:val="Paragraphedeliste"/>
        <w:numPr>
          <w:ilvl w:val="0"/>
          <w:numId w:val="2"/>
        </w:numPr>
      </w:pPr>
      <w:r>
        <w:t>absence d’embryon</w:t>
      </w:r>
    </w:p>
    <w:p w:rsidR="008653D2" w:rsidRDefault="008653D2" w:rsidP="008653D2">
      <w:pPr>
        <w:pStyle w:val="Paragraphedeliste"/>
        <w:numPr>
          <w:ilvl w:val="0"/>
          <w:numId w:val="2"/>
        </w:numPr>
      </w:pPr>
      <w:r>
        <w:t>kystes lutéiniques (</w:t>
      </w:r>
      <w:r w:rsidRPr="00EA3639">
        <w:rPr>
          <w:highlight w:val="yellow"/>
        </w:rPr>
        <w:t xml:space="preserve">ovaires↗ de volume, </w:t>
      </w:r>
      <w:proofErr w:type="spellStart"/>
      <w:r w:rsidRPr="00EA3639">
        <w:rPr>
          <w:highlight w:val="yellow"/>
        </w:rPr>
        <w:t>polykystiques</w:t>
      </w:r>
      <w:proofErr w:type="spellEnd"/>
      <w:r w:rsidRPr="00EA3639">
        <w:rPr>
          <w:highlight w:val="yellow"/>
        </w:rPr>
        <w:t>)</w:t>
      </w:r>
    </w:p>
    <w:p w:rsidR="008653D2" w:rsidRPr="00C01FCF" w:rsidRDefault="008653D2" w:rsidP="008653D2">
      <w:pPr>
        <w:pStyle w:val="Paragraphedeliste"/>
        <w:numPr>
          <w:ilvl w:val="0"/>
          <w:numId w:val="3"/>
        </w:numPr>
        <w:rPr>
          <w:b/>
          <w:bCs/>
        </w:rPr>
      </w:pPr>
      <w:r w:rsidRPr="00547F2A">
        <w:rPr>
          <w:b/>
          <w:bCs/>
          <w:highlight w:val="yellow"/>
        </w:rPr>
        <w:t>curetage évacuateur + anapath (certitude</w:t>
      </w:r>
      <w:r w:rsidRPr="00C01FCF">
        <w:rPr>
          <w:b/>
          <w:bCs/>
        </w:rPr>
        <w:t xml:space="preserve">) </w:t>
      </w:r>
    </w:p>
    <w:p w:rsidR="008653D2" w:rsidRPr="00C01FCF" w:rsidRDefault="008653D2" w:rsidP="008653D2">
      <w:pPr>
        <w:rPr>
          <w:b/>
          <w:bCs/>
          <w:color w:val="FF0000"/>
        </w:rPr>
      </w:pPr>
      <w:r w:rsidRPr="00C01FCF">
        <w:rPr>
          <w:b/>
          <w:bCs/>
          <w:color w:val="FF0000"/>
        </w:rPr>
        <w:t xml:space="preserve">Evolution : </w:t>
      </w:r>
    </w:p>
    <w:p w:rsidR="008653D2" w:rsidRDefault="008653D2" w:rsidP="008653D2">
      <w:pPr>
        <w:pStyle w:val="Paragraphedeliste"/>
        <w:numPr>
          <w:ilvl w:val="0"/>
          <w:numId w:val="2"/>
        </w:numPr>
      </w:pPr>
      <w:r>
        <w:t>guérison 100% si TRT bien conduit</w:t>
      </w:r>
    </w:p>
    <w:p w:rsidR="00C01FCF" w:rsidRDefault="008653D2" w:rsidP="00C01FCF">
      <w:pPr>
        <w:pStyle w:val="Paragraphedeliste"/>
        <w:numPr>
          <w:ilvl w:val="0"/>
          <w:numId w:val="2"/>
        </w:numPr>
      </w:pPr>
      <w:r>
        <w:t>complications : hémorragie</w:t>
      </w:r>
      <w:r w:rsidR="005C2C8C">
        <w:t xml:space="preserve"> importante, torsion du kyste, signes toxiniques</w:t>
      </w:r>
      <w:r w:rsidR="00C01FCF">
        <w:t>,</w:t>
      </w:r>
      <w:r w:rsidR="00C01FCF" w:rsidRPr="00C01FCF">
        <w:t xml:space="preserve"> </w:t>
      </w:r>
      <w:r w:rsidR="00C01FCF">
        <w:t>avortement molaire</w:t>
      </w:r>
    </w:p>
    <w:p w:rsidR="005C2C8C" w:rsidRDefault="005C2C8C" w:rsidP="008653D2">
      <w:pPr>
        <w:pStyle w:val="Paragraphedeliste"/>
        <w:numPr>
          <w:ilvl w:val="0"/>
          <w:numId w:val="2"/>
        </w:numPr>
      </w:pPr>
      <w:r>
        <w:t>évolution vers mole invasive ou choriocarcinome</w:t>
      </w:r>
      <w:r w:rsidR="00F9003F">
        <w:t xml:space="preserve"> = maladie trophoblastique persistante </w:t>
      </w:r>
    </w:p>
    <w:p w:rsidR="005C2C8C" w:rsidRDefault="005C2C8C" w:rsidP="005C2C8C">
      <w:r w:rsidRPr="00C01FCF">
        <w:rPr>
          <w:b/>
          <w:bCs/>
          <w:color w:val="FF0000"/>
        </w:rPr>
        <w:t>TRT :</w:t>
      </w:r>
      <w:r>
        <w:t xml:space="preserve"> Evacuation molaire par aspiration sous perf d’ocytocine + curetage +</w:t>
      </w:r>
      <w:r w:rsidRPr="005C2C8C">
        <w:t xml:space="preserve"> </w:t>
      </w:r>
      <w:r>
        <w:t>ATB</w:t>
      </w:r>
    </w:p>
    <w:p w:rsidR="00C01FCF" w:rsidRDefault="00C01FCF" w:rsidP="005C2C8C"/>
    <w:p w:rsidR="005C2C8C" w:rsidRPr="00C01FCF" w:rsidRDefault="005C2C8C" w:rsidP="005C2C8C">
      <w:pPr>
        <w:rPr>
          <w:b/>
          <w:bCs/>
          <w:color w:val="FF0000"/>
        </w:rPr>
      </w:pPr>
      <w:r w:rsidRPr="00C01FCF">
        <w:rPr>
          <w:b/>
          <w:bCs/>
          <w:color w:val="FF0000"/>
        </w:rPr>
        <w:lastRenderedPageBreak/>
        <w:t xml:space="preserve">Surveillance </w:t>
      </w:r>
    </w:p>
    <w:p w:rsidR="005C2C8C" w:rsidRDefault="005C2C8C" w:rsidP="005C2C8C">
      <w:pPr>
        <w:pStyle w:val="Paragraphedeliste"/>
        <w:numPr>
          <w:ilvl w:val="0"/>
          <w:numId w:val="2"/>
        </w:numPr>
      </w:pPr>
      <w:r>
        <w:t>clinique involution utérine, disparition métrorragies et des kystes lutéiniques</w:t>
      </w:r>
    </w:p>
    <w:p w:rsidR="005C2C8C" w:rsidRDefault="005C2C8C" w:rsidP="005C2C8C">
      <w:pPr>
        <w:pStyle w:val="Paragraphedeliste"/>
        <w:numPr>
          <w:ilvl w:val="0"/>
          <w:numId w:val="2"/>
        </w:numPr>
      </w:pPr>
      <w:r>
        <w:t>écho : recherche d’une image intra utérine</w:t>
      </w:r>
    </w:p>
    <w:p w:rsidR="005C2C8C" w:rsidRDefault="005C2C8C" w:rsidP="005C2C8C">
      <w:pPr>
        <w:pStyle w:val="Paragraphedeliste"/>
        <w:numPr>
          <w:ilvl w:val="0"/>
          <w:numId w:val="2"/>
        </w:numPr>
      </w:pPr>
      <w:r>
        <w:t>TTX : recherche de métastases</w:t>
      </w:r>
    </w:p>
    <w:p w:rsidR="005C2C8C" w:rsidRDefault="005C2C8C" w:rsidP="005C2C8C">
      <w:pPr>
        <w:pStyle w:val="Paragraphedeliste"/>
        <w:numPr>
          <w:ilvl w:val="0"/>
          <w:numId w:val="2"/>
        </w:numPr>
      </w:pPr>
      <w:r>
        <w:t xml:space="preserve">Taux de prolan </w:t>
      </w:r>
      <w:r w:rsidR="00F9003F">
        <w:t xml:space="preserve">tous les jours ou </w:t>
      </w:r>
      <w:proofErr w:type="spellStart"/>
      <w:r w:rsidR="00F9003F">
        <w:t>Tx</w:t>
      </w:r>
      <w:proofErr w:type="spellEnd"/>
      <w:r w:rsidR="00F9003F">
        <w:t xml:space="preserve"> BHCG chaque semaine jusqu’à rémission</w:t>
      </w:r>
    </w:p>
    <w:p w:rsidR="00F9003F" w:rsidRDefault="00F9003F" w:rsidP="005C2C8C">
      <w:pPr>
        <w:pStyle w:val="Paragraphedeliste"/>
        <w:numPr>
          <w:ilvl w:val="0"/>
          <w:numId w:val="2"/>
        </w:numPr>
      </w:pPr>
      <w:r w:rsidRPr="00C01FCF">
        <w:rPr>
          <w:highlight w:val="yellow"/>
        </w:rPr>
        <w:t>Rémission : 3 dosages hebdomadaires successifs négatifs</w:t>
      </w:r>
    </w:p>
    <w:p w:rsidR="00F9003F" w:rsidRDefault="00F9003F" w:rsidP="005C2C8C">
      <w:pPr>
        <w:pStyle w:val="Paragraphedeliste"/>
        <w:numPr>
          <w:ilvl w:val="0"/>
          <w:numId w:val="2"/>
        </w:numPr>
      </w:pPr>
      <w:r>
        <w:t>Surveillance pendant 4ans</w:t>
      </w:r>
    </w:p>
    <w:p w:rsidR="00F9003F" w:rsidRDefault="00F9003F" w:rsidP="005C2C8C">
      <w:pPr>
        <w:pStyle w:val="Paragraphedeliste"/>
        <w:numPr>
          <w:ilvl w:val="0"/>
          <w:numId w:val="2"/>
        </w:numPr>
      </w:pPr>
      <w:r>
        <w:t>Toute nouvelle grossesse ne sera autorisée qu’après 2ans de rémission</w:t>
      </w:r>
    </w:p>
    <w:p w:rsidR="00C01FCF" w:rsidRDefault="00C01FCF" w:rsidP="00C01FCF">
      <w:pPr>
        <w:pStyle w:val="Paragraphedeliste"/>
      </w:pPr>
    </w:p>
    <w:p w:rsidR="00F9003F" w:rsidRPr="00C01FCF" w:rsidRDefault="00F9003F" w:rsidP="00C01FCF">
      <w:pPr>
        <w:jc w:val="center"/>
        <w:rPr>
          <w:b/>
          <w:bCs/>
          <w:color w:val="FF0000"/>
        </w:rPr>
      </w:pPr>
      <w:r w:rsidRPr="00C01FCF">
        <w:rPr>
          <w:b/>
          <w:bCs/>
          <w:color w:val="FF0000"/>
        </w:rPr>
        <w:t>Maladie trophoblastique persistante</w:t>
      </w:r>
    </w:p>
    <w:p w:rsidR="00F27723" w:rsidRDefault="00F27723" w:rsidP="00F9003F">
      <w:pPr>
        <w:pStyle w:val="Paragraphedeliste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Histo : </w:t>
      </w:r>
    </w:p>
    <w:p w:rsidR="00F27723" w:rsidRPr="00F27723" w:rsidRDefault="00F27723" w:rsidP="00F27723">
      <w:pPr>
        <w:pStyle w:val="Paragraphedeliste"/>
        <w:numPr>
          <w:ilvl w:val="0"/>
          <w:numId w:val="6"/>
        </w:numPr>
        <w:rPr>
          <w:b/>
          <w:bCs/>
        </w:rPr>
      </w:pPr>
      <w:r>
        <w:rPr>
          <w:b/>
          <w:bCs/>
        </w:rPr>
        <w:t xml:space="preserve">Mole invasive : </w:t>
      </w:r>
      <w:r w:rsidRPr="00F27723">
        <w:t>infiltration du myomètre et des organes de voisinage par des villosités kystiques + hyperplasie du trophoblaste</w:t>
      </w:r>
    </w:p>
    <w:p w:rsidR="00F27723" w:rsidRDefault="00F27723" w:rsidP="00F27723">
      <w:pPr>
        <w:pStyle w:val="Paragraphedeliste"/>
        <w:numPr>
          <w:ilvl w:val="0"/>
          <w:numId w:val="6"/>
        </w:numPr>
        <w:rPr>
          <w:b/>
          <w:bCs/>
        </w:rPr>
      </w:pPr>
      <w:r>
        <w:rPr>
          <w:b/>
          <w:bCs/>
        </w:rPr>
        <w:t xml:space="preserve">choriocarcinome : </w:t>
      </w:r>
      <w:r w:rsidRPr="00F27723">
        <w:t xml:space="preserve">massif </w:t>
      </w:r>
      <w:proofErr w:type="spellStart"/>
      <w:r w:rsidRPr="00F27723">
        <w:t>cytosyncytiotrophoblastique</w:t>
      </w:r>
      <w:proofErr w:type="spellEnd"/>
      <w:r w:rsidRPr="00F27723">
        <w:t xml:space="preserve"> sans villosités choriales</w:t>
      </w:r>
      <w:r>
        <w:rPr>
          <w:b/>
          <w:bCs/>
        </w:rPr>
        <w:t xml:space="preserve">  </w:t>
      </w:r>
    </w:p>
    <w:p w:rsidR="00F27723" w:rsidRDefault="00F27723" w:rsidP="00F27723">
      <w:pPr>
        <w:pStyle w:val="Paragraphedeliste"/>
        <w:numPr>
          <w:ilvl w:val="0"/>
          <w:numId w:val="6"/>
        </w:numPr>
        <w:rPr>
          <w:b/>
          <w:bCs/>
        </w:rPr>
      </w:pPr>
      <w:r>
        <w:rPr>
          <w:b/>
          <w:bCs/>
        </w:rPr>
        <w:t xml:space="preserve">différence entre MI et CC </w:t>
      </w:r>
      <w:r w:rsidRPr="00F27723">
        <w:rPr>
          <w:highlight w:val="yellow"/>
        </w:rPr>
        <w:t>= absence de villosités choriales dans le choriocarcinome</w:t>
      </w:r>
    </w:p>
    <w:p w:rsidR="00F27723" w:rsidRDefault="00F27723" w:rsidP="00F9003F">
      <w:pPr>
        <w:pStyle w:val="Paragraphedeliste"/>
        <w:numPr>
          <w:ilvl w:val="0"/>
          <w:numId w:val="2"/>
        </w:numPr>
        <w:rPr>
          <w:b/>
          <w:bCs/>
        </w:rPr>
      </w:pPr>
    </w:p>
    <w:p w:rsidR="00F9003F" w:rsidRPr="00C01FCF" w:rsidRDefault="00F9003F" w:rsidP="00F9003F">
      <w:pPr>
        <w:pStyle w:val="Paragraphedeliste"/>
        <w:numPr>
          <w:ilvl w:val="0"/>
          <w:numId w:val="2"/>
        </w:numPr>
        <w:rPr>
          <w:b/>
          <w:bCs/>
        </w:rPr>
      </w:pPr>
      <w:r w:rsidRPr="00C01FCF">
        <w:rPr>
          <w:b/>
          <w:bCs/>
        </w:rPr>
        <w:t xml:space="preserve">Clinique : </w:t>
      </w:r>
    </w:p>
    <w:p w:rsidR="00F9003F" w:rsidRDefault="00F9003F" w:rsidP="00F9003F">
      <w:pPr>
        <w:pStyle w:val="Paragraphedeliste"/>
        <w:numPr>
          <w:ilvl w:val="0"/>
          <w:numId w:val="5"/>
        </w:numPr>
      </w:pPr>
      <w:r>
        <w:t xml:space="preserve">reprise ou persistance des métrorragies, </w:t>
      </w:r>
    </w:p>
    <w:p w:rsidR="00C01FCF" w:rsidRDefault="00F9003F" w:rsidP="00F9003F">
      <w:pPr>
        <w:pStyle w:val="Paragraphedeliste"/>
        <w:numPr>
          <w:ilvl w:val="0"/>
          <w:numId w:val="5"/>
        </w:numPr>
      </w:pPr>
      <w:r>
        <w:t xml:space="preserve">mauvaise involution utérine, </w:t>
      </w:r>
    </w:p>
    <w:p w:rsidR="00F9003F" w:rsidRDefault="00F9003F" w:rsidP="00F9003F">
      <w:pPr>
        <w:pStyle w:val="Paragraphedeliste"/>
        <w:numPr>
          <w:ilvl w:val="0"/>
          <w:numId w:val="5"/>
        </w:numPr>
      </w:pPr>
      <w:r>
        <w:t>persistance des kystes lutéiniques ou apparition des métastases</w:t>
      </w:r>
    </w:p>
    <w:p w:rsidR="00C01FCF" w:rsidRDefault="00C01FCF" w:rsidP="00C01FCF">
      <w:pPr>
        <w:pStyle w:val="Paragraphedeliste"/>
        <w:ind w:left="1080"/>
      </w:pPr>
    </w:p>
    <w:p w:rsidR="00F9003F" w:rsidRPr="00C01FCF" w:rsidRDefault="00F9003F" w:rsidP="00F9003F">
      <w:pPr>
        <w:pStyle w:val="Paragraphedeliste"/>
        <w:numPr>
          <w:ilvl w:val="0"/>
          <w:numId w:val="2"/>
        </w:numPr>
        <w:rPr>
          <w:b/>
          <w:bCs/>
        </w:rPr>
      </w:pPr>
      <w:r w:rsidRPr="00C01FCF">
        <w:rPr>
          <w:b/>
          <w:bCs/>
        </w:rPr>
        <w:t xml:space="preserve">Biologie : </w:t>
      </w:r>
    </w:p>
    <w:p w:rsidR="00F9003F" w:rsidRDefault="00F9003F" w:rsidP="00F9003F">
      <w:pPr>
        <w:pStyle w:val="Paragraphedeliste"/>
        <w:numPr>
          <w:ilvl w:val="0"/>
          <w:numId w:val="4"/>
        </w:numPr>
      </w:pPr>
      <w:r>
        <w:t xml:space="preserve">stagnation du </w:t>
      </w:r>
      <w:proofErr w:type="spellStart"/>
      <w:r>
        <w:t>tx</w:t>
      </w:r>
      <w:proofErr w:type="spellEnd"/>
      <w:r>
        <w:t xml:space="preserve"> de BHCG après ↘initiale</w:t>
      </w:r>
    </w:p>
    <w:p w:rsidR="00F9003F" w:rsidRDefault="00F9003F" w:rsidP="00F9003F">
      <w:pPr>
        <w:pStyle w:val="Paragraphedeliste"/>
        <w:numPr>
          <w:ilvl w:val="0"/>
          <w:numId w:val="4"/>
        </w:numPr>
      </w:pPr>
      <w:proofErr w:type="spellStart"/>
      <w:r>
        <w:t>réélevation</w:t>
      </w:r>
      <w:proofErr w:type="spellEnd"/>
      <w:r>
        <w:t xml:space="preserve"> à partir de la 4</w:t>
      </w:r>
      <w:r w:rsidRPr="00F9003F">
        <w:rPr>
          <w:vertAlign w:val="superscript"/>
        </w:rPr>
        <w:t>ème</w:t>
      </w:r>
      <w:r>
        <w:t xml:space="preserve"> semaine</w:t>
      </w:r>
    </w:p>
    <w:p w:rsidR="00F9003F" w:rsidRDefault="00F9003F" w:rsidP="00F9003F">
      <w:pPr>
        <w:pStyle w:val="Paragraphedeliste"/>
        <w:numPr>
          <w:ilvl w:val="0"/>
          <w:numId w:val="4"/>
        </w:numPr>
      </w:pPr>
      <w:r>
        <w:t>persistance du taux + après 12 semaines</w:t>
      </w:r>
    </w:p>
    <w:p w:rsidR="00C01FCF" w:rsidRDefault="00C01FCF" w:rsidP="00C01FCF">
      <w:pPr>
        <w:pStyle w:val="Paragraphedeliste"/>
        <w:ind w:left="1080"/>
      </w:pPr>
    </w:p>
    <w:p w:rsidR="00F9003F" w:rsidRDefault="005C7E9D" w:rsidP="005C7E9D">
      <w:pPr>
        <w:pStyle w:val="Paragraphedeliste"/>
        <w:numPr>
          <w:ilvl w:val="0"/>
          <w:numId w:val="2"/>
        </w:numPr>
      </w:pPr>
      <w:r w:rsidRPr="00C01FCF">
        <w:rPr>
          <w:b/>
          <w:bCs/>
        </w:rPr>
        <w:t>E</w:t>
      </w:r>
      <w:r w:rsidR="00F9003F" w:rsidRPr="00C01FCF">
        <w:rPr>
          <w:b/>
          <w:bCs/>
        </w:rPr>
        <w:t>chographie :</w:t>
      </w:r>
      <w:r w:rsidR="00F9003F">
        <w:t xml:space="preserve"> résidu molaire ou image intra </w:t>
      </w:r>
      <w:proofErr w:type="spellStart"/>
      <w:r w:rsidR="00F9003F">
        <w:t>myométriale</w:t>
      </w:r>
      <w:proofErr w:type="spellEnd"/>
    </w:p>
    <w:p w:rsidR="00C01FCF" w:rsidRDefault="00C01FCF" w:rsidP="00C01FCF">
      <w:pPr>
        <w:pStyle w:val="Paragraphedeliste"/>
      </w:pPr>
    </w:p>
    <w:p w:rsidR="005C7E9D" w:rsidRDefault="005C7E9D" w:rsidP="005C7E9D">
      <w:pPr>
        <w:pStyle w:val="Paragraphedeliste"/>
        <w:numPr>
          <w:ilvl w:val="0"/>
          <w:numId w:val="2"/>
        </w:numPr>
      </w:pPr>
      <w:r w:rsidRPr="00C01FCF">
        <w:rPr>
          <w:b/>
          <w:bCs/>
        </w:rPr>
        <w:t>TRT :</w:t>
      </w:r>
      <w:r>
        <w:t xml:space="preserve"> </w:t>
      </w:r>
      <w:proofErr w:type="spellStart"/>
      <w:r w:rsidRPr="008F51BB">
        <w:rPr>
          <w:highlight w:val="yellow"/>
        </w:rPr>
        <w:t>méthotréxate</w:t>
      </w:r>
      <w:proofErr w:type="spellEnd"/>
      <w:r>
        <w:t xml:space="preserve"> </w:t>
      </w:r>
    </w:p>
    <w:sectPr w:rsidR="005C7E9D" w:rsidSect="005C7E9D">
      <w:pgSz w:w="11906" w:h="16838"/>
      <w:pgMar w:top="851" w:right="991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D6818"/>
    <w:multiLevelType w:val="hybridMultilevel"/>
    <w:tmpl w:val="E25460EC"/>
    <w:lvl w:ilvl="0" w:tplc="3D9E53CA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F90427"/>
    <w:multiLevelType w:val="hybridMultilevel"/>
    <w:tmpl w:val="AEAA62DC"/>
    <w:lvl w:ilvl="0" w:tplc="E59C4EC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E4BB1"/>
    <w:multiLevelType w:val="hybridMultilevel"/>
    <w:tmpl w:val="AA8095E6"/>
    <w:lvl w:ilvl="0" w:tplc="8EF2876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0C048B5"/>
    <w:multiLevelType w:val="hybridMultilevel"/>
    <w:tmpl w:val="7EFE7B4E"/>
    <w:lvl w:ilvl="0" w:tplc="58E6F4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762BAA"/>
    <w:multiLevelType w:val="hybridMultilevel"/>
    <w:tmpl w:val="389E8552"/>
    <w:lvl w:ilvl="0" w:tplc="0C5447C2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DC09DF"/>
    <w:multiLevelType w:val="hybridMultilevel"/>
    <w:tmpl w:val="51C6AFAA"/>
    <w:lvl w:ilvl="0" w:tplc="D8C6B20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645EA"/>
    <w:rsid w:val="001645EA"/>
    <w:rsid w:val="00191FC7"/>
    <w:rsid w:val="00434540"/>
    <w:rsid w:val="00547F2A"/>
    <w:rsid w:val="005C2C8C"/>
    <w:rsid w:val="005C7E9D"/>
    <w:rsid w:val="008653D2"/>
    <w:rsid w:val="008F51BB"/>
    <w:rsid w:val="00A92A66"/>
    <w:rsid w:val="00AC1FA6"/>
    <w:rsid w:val="00AF4534"/>
    <w:rsid w:val="00BE211D"/>
    <w:rsid w:val="00C01FCF"/>
    <w:rsid w:val="00C758BB"/>
    <w:rsid w:val="00CB58FC"/>
    <w:rsid w:val="00EA3639"/>
    <w:rsid w:val="00EC3BF6"/>
    <w:rsid w:val="00F27723"/>
    <w:rsid w:val="00F9003F"/>
    <w:rsid w:val="00FD1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645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431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2010-03-24T16:23:00Z</dcterms:created>
  <dcterms:modified xsi:type="dcterms:W3CDTF">2010-03-29T10:05:00Z</dcterms:modified>
</cp:coreProperties>
</file>