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5724B" w:rsidRDefault="004A647B" w:rsidP="00A5724B">
      <w:pPr>
        <w:jc w:val="center"/>
        <w:rPr>
          <w:b/>
          <w:bCs/>
          <w:color w:val="FF0000"/>
        </w:rPr>
      </w:pPr>
      <w:r w:rsidRPr="00A5724B">
        <w:rPr>
          <w:b/>
          <w:bCs/>
          <w:color w:val="FF0000"/>
        </w:rPr>
        <w:t>Infections génitales hautes – Salpingites</w:t>
      </w:r>
    </w:p>
    <w:p w:rsidR="004A647B" w:rsidRDefault="004A647B" w:rsidP="004A647B">
      <w:pPr>
        <w:pStyle w:val="Paragraphedeliste"/>
        <w:numPr>
          <w:ilvl w:val="0"/>
          <w:numId w:val="1"/>
        </w:numPr>
      </w:pPr>
      <w:r>
        <w:t xml:space="preserve">C’est l’infection d’1 ou 2 </w:t>
      </w:r>
      <w:proofErr w:type="gramStart"/>
      <w:r>
        <w:t>trompes</w:t>
      </w:r>
      <w:proofErr w:type="gramEnd"/>
      <w:r>
        <w:t xml:space="preserve"> de Fallope, </w:t>
      </w:r>
      <w:r w:rsidRPr="00A5724B">
        <w:rPr>
          <w:b/>
          <w:bCs/>
        </w:rPr>
        <w:t>le plus souvent associée à une endométrite</w:t>
      </w:r>
    </w:p>
    <w:p w:rsidR="004A647B" w:rsidRDefault="004A647B" w:rsidP="004A647B">
      <w:pPr>
        <w:pStyle w:val="Paragraphedeliste"/>
        <w:numPr>
          <w:ilvl w:val="0"/>
          <w:numId w:val="1"/>
        </w:numPr>
      </w:pPr>
      <w:r>
        <w:t xml:space="preserve">Causes : </w:t>
      </w:r>
      <w:r w:rsidRPr="00A5724B">
        <w:rPr>
          <w:highlight w:val="yellow"/>
        </w:rPr>
        <w:t>IST +++</w:t>
      </w:r>
    </w:p>
    <w:p w:rsidR="004A647B" w:rsidRPr="00A5724B" w:rsidRDefault="004A647B" w:rsidP="004A647B">
      <w:pPr>
        <w:pStyle w:val="Paragraphedeliste"/>
        <w:numPr>
          <w:ilvl w:val="0"/>
          <w:numId w:val="1"/>
        </w:numPr>
        <w:rPr>
          <w:b/>
          <w:bCs/>
        </w:rPr>
      </w:pPr>
      <w:r w:rsidRPr="00A5724B">
        <w:rPr>
          <w:b/>
          <w:bCs/>
        </w:rPr>
        <w:t xml:space="preserve">Agents infectieux </w:t>
      </w:r>
    </w:p>
    <w:p w:rsidR="004A647B" w:rsidRDefault="004A647B" w:rsidP="004A647B">
      <w:pPr>
        <w:pStyle w:val="Paragraphedeliste"/>
        <w:numPr>
          <w:ilvl w:val="0"/>
          <w:numId w:val="2"/>
        </w:numPr>
      </w:pPr>
      <w:r w:rsidRPr="003F417B">
        <w:rPr>
          <w:highlight w:val="yellow"/>
        </w:rPr>
        <w:t xml:space="preserve">Chlamydia </w:t>
      </w:r>
      <w:proofErr w:type="spellStart"/>
      <w:r w:rsidRPr="003F417B">
        <w:rPr>
          <w:highlight w:val="yellow"/>
        </w:rPr>
        <w:t>trachomatis</w:t>
      </w:r>
      <w:proofErr w:type="spellEnd"/>
      <w:r w:rsidRPr="003F417B">
        <w:rPr>
          <w:highlight w:val="yellow"/>
        </w:rPr>
        <w:t xml:space="preserve"> 60%</w:t>
      </w:r>
    </w:p>
    <w:p w:rsidR="004A647B" w:rsidRDefault="004A647B" w:rsidP="004A647B">
      <w:pPr>
        <w:pStyle w:val="Paragraphedeliste"/>
        <w:numPr>
          <w:ilvl w:val="0"/>
          <w:numId w:val="2"/>
        </w:numPr>
      </w:pPr>
      <w:proofErr w:type="spellStart"/>
      <w:r>
        <w:t>Neisseria</w:t>
      </w:r>
      <w:proofErr w:type="spellEnd"/>
      <w:r>
        <w:t xml:space="preserve"> </w:t>
      </w:r>
      <w:proofErr w:type="spellStart"/>
      <w:r>
        <w:t>gonorrhoae</w:t>
      </w:r>
      <w:proofErr w:type="spellEnd"/>
      <w:r>
        <w:t xml:space="preserve"> 10%</w:t>
      </w:r>
    </w:p>
    <w:p w:rsidR="004A647B" w:rsidRDefault="004A647B" w:rsidP="004A647B">
      <w:pPr>
        <w:pStyle w:val="Paragraphedeliste"/>
        <w:numPr>
          <w:ilvl w:val="0"/>
          <w:numId w:val="2"/>
        </w:numPr>
      </w:pPr>
      <w:r>
        <w:t>Bactéries de la flore vaginale</w:t>
      </w:r>
    </w:p>
    <w:p w:rsidR="004A647B" w:rsidRPr="00A5724B" w:rsidRDefault="004A647B" w:rsidP="004A647B">
      <w:pPr>
        <w:pStyle w:val="Paragraphedeliste"/>
        <w:numPr>
          <w:ilvl w:val="0"/>
          <w:numId w:val="1"/>
        </w:numPr>
        <w:rPr>
          <w:b/>
          <w:bCs/>
        </w:rPr>
      </w:pPr>
      <w:r w:rsidRPr="00A5724B">
        <w:rPr>
          <w:b/>
          <w:bCs/>
        </w:rPr>
        <w:t xml:space="preserve">2 types de salpingites : </w:t>
      </w:r>
    </w:p>
    <w:p w:rsidR="004A647B" w:rsidRDefault="004A647B" w:rsidP="004A647B">
      <w:pPr>
        <w:pStyle w:val="Paragraphedeliste"/>
        <w:numPr>
          <w:ilvl w:val="0"/>
          <w:numId w:val="2"/>
        </w:numPr>
      </w:pPr>
      <w:r>
        <w:t xml:space="preserve">Primitive : vénériennes, iatrogènes (stérilet, IVG) ou endogène </w:t>
      </w:r>
      <w:proofErr w:type="spellStart"/>
      <w:r>
        <w:t>polymicrobienne</w:t>
      </w:r>
      <w:proofErr w:type="spellEnd"/>
    </w:p>
    <w:p w:rsidR="004A647B" w:rsidRDefault="004A647B" w:rsidP="004A647B">
      <w:pPr>
        <w:pStyle w:val="Paragraphedeliste"/>
        <w:numPr>
          <w:ilvl w:val="0"/>
          <w:numId w:val="2"/>
        </w:numPr>
      </w:pPr>
      <w:r>
        <w:t>Secondaire à une infection pelvienne : appendicite…</w:t>
      </w:r>
    </w:p>
    <w:p w:rsidR="004A647B" w:rsidRPr="00A5724B" w:rsidRDefault="004A647B" w:rsidP="004A647B">
      <w:pPr>
        <w:rPr>
          <w:b/>
          <w:bCs/>
          <w:color w:val="FF0000"/>
        </w:rPr>
      </w:pPr>
      <w:r w:rsidRPr="00A5724B">
        <w:rPr>
          <w:b/>
          <w:bCs/>
          <w:color w:val="FF0000"/>
        </w:rPr>
        <w:t xml:space="preserve">Clinique : </w:t>
      </w:r>
    </w:p>
    <w:p w:rsidR="004A647B" w:rsidRDefault="004A647B" w:rsidP="001C2708">
      <w:pPr>
        <w:pStyle w:val="Paragraphedeliste"/>
        <w:numPr>
          <w:ilvl w:val="0"/>
          <w:numId w:val="2"/>
        </w:numPr>
      </w:pPr>
      <w:r w:rsidRPr="003F417B">
        <w:rPr>
          <w:highlight w:val="yellow"/>
        </w:rPr>
        <w:t>Douleurs pelviennes</w:t>
      </w:r>
      <w:r w:rsidR="001C2708" w:rsidRPr="003F417B">
        <w:rPr>
          <w:highlight w:val="yellow"/>
        </w:rPr>
        <w:t>, métrorragies, l</w:t>
      </w:r>
      <w:r w:rsidRPr="003F417B">
        <w:rPr>
          <w:highlight w:val="yellow"/>
        </w:rPr>
        <w:t>eucorrhées</w:t>
      </w:r>
      <w:r>
        <w:t xml:space="preserve"> </w:t>
      </w:r>
    </w:p>
    <w:p w:rsidR="004A647B" w:rsidRDefault="004A647B" w:rsidP="004A647B">
      <w:pPr>
        <w:pStyle w:val="Paragraphedeliste"/>
        <w:numPr>
          <w:ilvl w:val="0"/>
          <w:numId w:val="2"/>
        </w:numPr>
      </w:pPr>
      <w:r w:rsidRPr="003F417B">
        <w:rPr>
          <w:highlight w:val="yellow"/>
        </w:rPr>
        <w:t>Fièvre dans 50% des cas</w:t>
      </w:r>
      <w:r>
        <w:t xml:space="preserve"> </w:t>
      </w:r>
    </w:p>
    <w:p w:rsidR="001C2708" w:rsidRDefault="001C2708" w:rsidP="001C2708">
      <w:pPr>
        <w:pStyle w:val="Paragraphedeliste"/>
        <w:numPr>
          <w:ilvl w:val="0"/>
          <w:numId w:val="2"/>
        </w:numPr>
        <w:tabs>
          <w:tab w:val="left" w:pos="0"/>
        </w:tabs>
      </w:pPr>
      <w:r>
        <w:t>Examen de la vulve, du méat urétéral (rougeur et écoulement)  et de la marge anale</w:t>
      </w:r>
    </w:p>
    <w:p w:rsidR="001C2708" w:rsidRDefault="001C2708" w:rsidP="004A647B">
      <w:pPr>
        <w:pStyle w:val="Paragraphedeliste"/>
        <w:numPr>
          <w:ilvl w:val="0"/>
          <w:numId w:val="2"/>
        </w:numPr>
      </w:pPr>
      <w:r>
        <w:t xml:space="preserve">Examen au spéculum + prélèvements  </w:t>
      </w:r>
    </w:p>
    <w:p w:rsidR="001C2708" w:rsidRPr="00A5724B" w:rsidRDefault="001C2708" w:rsidP="001C2708">
      <w:pPr>
        <w:rPr>
          <w:b/>
          <w:bCs/>
          <w:color w:val="FF0000"/>
        </w:rPr>
      </w:pPr>
      <w:r w:rsidRPr="00A5724B">
        <w:rPr>
          <w:b/>
          <w:bCs/>
          <w:color w:val="FF0000"/>
        </w:rPr>
        <w:t>Examens complémentaires :</w:t>
      </w:r>
    </w:p>
    <w:p w:rsidR="001C2708" w:rsidRDefault="001C2708" w:rsidP="002913EB">
      <w:pPr>
        <w:pStyle w:val="Paragraphedeliste"/>
        <w:numPr>
          <w:ilvl w:val="0"/>
          <w:numId w:val="1"/>
        </w:numPr>
      </w:pPr>
      <w:r>
        <w:t>NFS (↗PNN), VS↗</w:t>
      </w:r>
    </w:p>
    <w:p w:rsidR="001C2708" w:rsidRDefault="001C2708" w:rsidP="002913EB">
      <w:pPr>
        <w:pStyle w:val="Paragraphedeliste"/>
        <w:numPr>
          <w:ilvl w:val="0"/>
          <w:numId w:val="1"/>
        </w:numPr>
      </w:pPr>
      <w:r>
        <w:t>BHCG pour éliminer une GEU, ECBU pour éliminer une infection urinaire</w:t>
      </w:r>
    </w:p>
    <w:p w:rsidR="002913EB" w:rsidRDefault="002913EB" w:rsidP="002913EB">
      <w:pPr>
        <w:pStyle w:val="Paragraphedeliste"/>
        <w:ind w:left="1080"/>
      </w:pPr>
    </w:p>
    <w:p w:rsidR="001C2708" w:rsidRPr="00A5724B" w:rsidRDefault="001C2708" w:rsidP="002913EB">
      <w:pPr>
        <w:pStyle w:val="Paragraphedeliste"/>
        <w:numPr>
          <w:ilvl w:val="0"/>
          <w:numId w:val="1"/>
        </w:numPr>
        <w:rPr>
          <w:b/>
          <w:bCs/>
        </w:rPr>
      </w:pPr>
      <w:r w:rsidRPr="00A5724B">
        <w:rPr>
          <w:b/>
          <w:bCs/>
        </w:rPr>
        <w:t>Identification du germe :</w:t>
      </w:r>
    </w:p>
    <w:p w:rsidR="001C2708" w:rsidRDefault="001C2708" w:rsidP="001C2708">
      <w:pPr>
        <w:pStyle w:val="Paragraphedeliste"/>
        <w:numPr>
          <w:ilvl w:val="0"/>
          <w:numId w:val="3"/>
        </w:numPr>
      </w:pPr>
      <w:r>
        <w:t>HC, écouvillonnage de l’urètre et de l’endocol</w:t>
      </w:r>
    </w:p>
    <w:p w:rsidR="002913EB" w:rsidRDefault="001C2708" w:rsidP="001C2708">
      <w:pPr>
        <w:pStyle w:val="Paragraphedeliste"/>
        <w:numPr>
          <w:ilvl w:val="0"/>
          <w:numId w:val="3"/>
        </w:numPr>
      </w:pPr>
      <w:r>
        <w:t>Prélèvement urétral du conjoint</w:t>
      </w:r>
    </w:p>
    <w:p w:rsidR="002913EB" w:rsidRDefault="002913EB" w:rsidP="001C2708">
      <w:pPr>
        <w:pStyle w:val="Paragraphedeliste"/>
        <w:numPr>
          <w:ilvl w:val="0"/>
          <w:numId w:val="3"/>
        </w:numPr>
      </w:pPr>
      <w:r>
        <w:t xml:space="preserve">Retrait et culture du stérilet </w:t>
      </w:r>
    </w:p>
    <w:p w:rsidR="001C2708" w:rsidRDefault="002913EB" w:rsidP="001C2708">
      <w:pPr>
        <w:pStyle w:val="Paragraphedeliste"/>
        <w:numPr>
          <w:ilvl w:val="0"/>
          <w:numId w:val="3"/>
        </w:numPr>
      </w:pPr>
      <w:r>
        <w:t>Sérologie systématique</w:t>
      </w:r>
      <w:r w:rsidR="001C2708">
        <w:t xml:space="preserve"> </w:t>
      </w:r>
    </w:p>
    <w:p w:rsidR="002913EB" w:rsidRDefault="002913EB" w:rsidP="002913EB">
      <w:pPr>
        <w:pStyle w:val="Paragraphedeliste"/>
        <w:ind w:left="1440"/>
      </w:pPr>
    </w:p>
    <w:p w:rsidR="002913EB" w:rsidRPr="00A5724B" w:rsidRDefault="002913EB" w:rsidP="002913EB">
      <w:pPr>
        <w:pStyle w:val="Paragraphedeliste"/>
        <w:numPr>
          <w:ilvl w:val="0"/>
          <w:numId w:val="1"/>
        </w:numPr>
        <w:rPr>
          <w:b/>
          <w:bCs/>
        </w:rPr>
      </w:pPr>
      <w:r w:rsidRPr="00A5724B">
        <w:rPr>
          <w:b/>
          <w:bCs/>
        </w:rPr>
        <w:t>Echo pelvienne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 w:rsidRPr="00A5724B">
        <w:rPr>
          <w:highlight w:val="yellow"/>
        </w:rPr>
        <w:t>Phase aigue</w:t>
      </w:r>
      <w:r>
        <w:t> : flou échographique +/- diffus. L’absence de signes n’exclue pas le diagnostic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 w:rsidRPr="00A5724B">
        <w:rPr>
          <w:highlight w:val="yellow"/>
        </w:rPr>
        <w:t>Phase de collection</w:t>
      </w:r>
      <w:r>
        <w:t> : image de pyosalpinx, abcès du douglas ou de l’ovaire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 w:rsidRPr="00A5724B">
        <w:rPr>
          <w:highlight w:val="yellow"/>
        </w:rPr>
        <w:t>Phase séquellaire</w:t>
      </w:r>
      <w:r>
        <w:t xml:space="preserve"> : hydrosalpinx </w:t>
      </w:r>
    </w:p>
    <w:p w:rsidR="002913EB" w:rsidRDefault="002913EB" w:rsidP="002913EB">
      <w:pPr>
        <w:pStyle w:val="Paragraphedeliste"/>
        <w:ind w:left="1440"/>
      </w:pPr>
    </w:p>
    <w:p w:rsidR="002913EB" w:rsidRPr="00A5724B" w:rsidRDefault="002913EB" w:rsidP="002913EB">
      <w:pPr>
        <w:pStyle w:val="Paragraphedeliste"/>
        <w:numPr>
          <w:ilvl w:val="0"/>
          <w:numId w:val="1"/>
        </w:numPr>
        <w:rPr>
          <w:b/>
          <w:bCs/>
        </w:rPr>
      </w:pPr>
      <w:r w:rsidRPr="00A5724B">
        <w:rPr>
          <w:b/>
          <w:bCs/>
        </w:rPr>
        <w:t>Cœlioscopie</w:t>
      </w:r>
    </w:p>
    <w:p w:rsidR="002913EB" w:rsidRPr="00A5724B" w:rsidRDefault="002913EB" w:rsidP="002913EB">
      <w:pPr>
        <w:pStyle w:val="Paragraphedeliste"/>
        <w:numPr>
          <w:ilvl w:val="0"/>
          <w:numId w:val="2"/>
        </w:numPr>
        <w:rPr>
          <w:highlight w:val="yellow"/>
        </w:rPr>
      </w:pPr>
      <w:r w:rsidRPr="00A5724B">
        <w:rPr>
          <w:highlight w:val="yellow"/>
        </w:rPr>
        <w:t xml:space="preserve">Indications : 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>
        <w:t>Femme jeune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>
        <w:t>Femme nullipare ou désireuse de grossesse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>
        <w:t>Forme grave d’emblée</w:t>
      </w:r>
    </w:p>
    <w:p w:rsidR="002913EB" w:rsidRDefault="002913EB" w:rsidP="002913EB">
      <w:pPr>
        <w:pStyle w:val="Paragraphedeliste"/>
        <w:numPr>
          <w:ilvl w:val="0"/>
          <w:numId w:val="3"/>
        </w:numPr>
      </w:pPr>
      <w:r>
        <w:t>Echec TRT bien conduit à T3</w:t>
      </w:r>
    </w:p>
    <w:p w:rsidR="00AD1320" w:rsidRPr="00A5724B" w:rsidRDefault="00AD1320" w:rsidP="00AD1320">
      <w:pPr>
        <w:pStyle w:val="Paragraphedeliste"/>
        <w:numPr>
          <w:ilvl w:val="0"/>
          <w:numId w:val="2"/>
        </w:numPr>
        <w:rPr>
          <w:highlight w:val="yellow"/>
        </w:rPr>
      </w:pPr>
      <w:r w:rsidRPr="00A5724B">
        <w:rPr>
          <w:highlight w:val="yellow"/>
        </w:rPr>
        <w:t xml:space="preserve">Etabli le diagnostic : </w:t>
      </w:r>
    </w:p>
    <w:p w:rsidR="00AD1320" w:rsidRDefault="00AD1320" w:rsidP="00AD1320">
      <w:pPr>
        <w:pStyle w:val="Paragraphedeliste"/>
        <w:numPr>
          <w:ilvl w:val="0"/>
          <w:numId w:val="3"/>
        </w:numPr>
      </w:pPr>
      <w:r>
        <w:t>Inflammation tubaire, pus dans la trompe, trompes oblitérées</w:t>
      </w:r>
    </w:p>
    <w:p w:rsidR="00AD1320" w:rsidRDefault="00AD1320" w:rsidP="00AD1320">
      <w:pPr>
        <w:pStyle w:val="Paragraphedeliste"/>
        <w:numPr>
          <w:ilvl w:val="0"/>
          <w:numId w:val="3"/>
        </w:numPr>
      </w:pPr>
      <w:r w:rsidRPr="00FC6CF6">
        <w:rPr>
          <w:color w:val="FF0000"/>
        </w:rPr>
        <w:t xml:space="preserve">Sd de </w:t>
      </w:r>
      <w:proofErr w:type="spellStart"/>
      <w:r w:rsidRPr="00FC6CF6">
        <w:rPr>
          <w:color w:val="FF0000"/>
        </w:rPr>
        <w:t>Fitz</w:t>
      </w:r>
      <w:proofErr w:type="spellEnd"/>
      <w:r w:rsidRPr="00FC6CF6">
        <w:rPr>
          <w:color w:val="FF0000"/>
        </w:rPr>
        <w:t xml:space="preserve"> Hugh Curtis</w:t>
      </w:r>
      <w:r>
        <w:t> : péri-hépatite avec douleur de l’HD et fièvre + adhérences inter hépato diaphragmatiques en corde de violon</w:t>
      </w:r>
    </w:p>
    <w:p w:rsidR="00AD1320" w:rsidRDefault="00AD1320" w:rsidP="00AD1320">
      <w:pPr>
        <w:pStyle w:val="Paragraphedeliste"/>
        <w:numPr>
          <w:ilvl w:val="0"/>
          <w:numId w:val="2"/>
        </w:numPr>
      </w:pPr>
      <w:r>
        <w:t xml:space="preserve">Permet des prélèvements cytologiques, bactériologiques </w:t>
      </w:r>
    </w:p>
    <w:p w:rsidR="00AD1320" w:rsidRDefault="00AD1320" w:rsidP="00AD1320">
      <w:pPr>
        <w:pStyle w:val="Paragraphedeliste"/>
        <w:numPr>
          <w:ilvl w:val="0"/>
          <w:numId w:val="2"/>
        </w:numPr>
      </w:pPr>
      <w:r>
        <w:t>Permet l’instillation d’ATB directement dans la cavité abdominale</w:t>
      </w:r>
    </w:p>
    <w:p w:rsidR="00AD1320" w:rsidRDefault="00AD1320" w:rsidP="00AD1320">
      <w:pPr>
        <w:pStyle w:val="Paragraphedeliste"/>
        <w:ind w:left="1080"/>
      </w:pPr>
    </w:p>
    <w:p w:rsidR="00AD1320" w:rsidRDefault="00AD1320" w:rsidP="00AD1320">
      <w:pPr>
        <w:pStyle w:val="Paragraphedeliste"/>
        <w:numPr>
          <w:ilvl w:val="0"/>
          <w:numId w:val="1"/>
        </w:numPr>
      </w:pPr>
      <w:r w:rsidRPr="00FC6CF6">
        <w:rPr>
          <w:b/>
          <w:bCs/>
        </w:rPr>
        <w:t>Examens CI</w:t>
      </w:r>
      <w:r>
        <w:t> : hystéromètrie, hystéroscopie, HSG, curetage</w:t>
      </w:r>
      <w:r w:rsidR="00A5724B">
        <w:t xml:space="preserve"> </w:t>
      </w:r>
    </w:p>
    <w:p w:rsidR="00FC6CF6" w:rsidRDefault="00FC6CF6" w:rsidP="00A5724B">
      <w:pPr>
        <w:ind w:left="360"/>
      </w:pPr>
    </w:p>
    <w:p w:rsidR="00A5724B" w:rsidRPr="00FC6CF6" w:rsidRDefault="00A5724B" w:rsidP="00A5724B">
      <w:pPr>
        <w:ind w:left="360"/>
        <w:rPr>
          <w:b/>
          <w:bCs/>
        </w:rPr>
      </w:pPr>
      <w:r w:rsidRPr="00FC6CF6">
        <w:rPr>
          <w:b/>
          <w:bCs/>
        </w:rPr>
        <w:lastRenderedPageBreak/>
        <w:t xml:space="preserve">TRT : </w:t>
      </w:r>
      <w:r w:rsidRPr="00FC6CF6">
        <w:rPr>
          <w:b/>
          <w:bCs/>
          <w:highlight w:val="yellow"/>
        </w:rPr>
        <w:t>urgence thérapeutique</w:t>
      </w:r>
      <w:r w:rsidRPr="00FC6CF6">
        <w:rPr>
          <w:b/>
          <w:bCs/>
        </w:rPr>
        <w:t xml:space="preserve"> + TRT du conjoint </w:t>
      </w:r>
    </w:p>
    <w:p w:rsidR="00A5724B" w:rsidRPr="00FC6CF6" w:rsidRDefault="00A5724B" w:rsidP="00A5724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C6CF6">
        <w:rPr>
          <w:b/>
          <w:bCs/>
          <w:color w:val="FF0000"/>
        </w:rPr>
        <w:t>TRT médical : hospitalisation</w:t>
      </w:r>
    </w:p>
    <w:p w:rsidR="00A5724B" w:rsidRDefault="00A5724B" w:rsidP="00A5724B">
      <w:pPr>
        <w:pStyle w:val="Paragraphedeliste"/>
        <w:numPr>
          <w:ilvl w:val="0"/>
          <w:numId w:val="2"/>
        </w:numPr>
      </w:pPr>
      <w:r>
        <w:t xml:space="preserve">Phase d’attaque : </w:t>
      </w:r>
      <w:r w:rsidRPr="004818ED">
        <w:rPr>
          <w:highlight w:val="yellow"/>
        </w:rPr>
        <w:t>21J en IV</w:t>
      </w:r>
      <w:r>
        <w:t xml:space="preserve"> puis </w:t>
      </w:r>
      <w:r w:rsidRPr="004818ED">
        <w:rPr>
          <w:highlight w:val="yellow"/>
        </w:rPr>
        <w:t>relai per os</w:t>
      </w:r>
      <w:r>
        <w:t xml:space="preserve"> après 48h d’apyrexie </w:t>
      </w:r>
    </w:p>
    <w:p w:rsidR="00A5724B" w:rsidRDefault="00A5724B" w:rsidP="00A5724B">
      <w:pPr>
        <w:pStyle w:val="Paragraphedeliste"/>
        <w:numPr>
          <w:ilvl w:val="0"/>
          <w:numId w:val="2"/>
        </w:numPr>
      </w:pPr>
      <w:r w:rsidRPr="004818ED">
        <w:rPr>
          <w:highlight w:val="yellow"/>
        </w:rPr>
        <w:t>2 ATB</w:t>
      </w:r>
      <w:r>
        <w:t xml:space="preserve"> à large spectre corrigés selon les résultats de l’ATB gramme </w:t>
      </w:r>
    </w:p>
    <w:p w:rsidR="00A5724B" w:rsidRDefault="00A5724B" w:rsidP="00A5724B">
      <w:pPr>
        <w:pStyle w:val="Paragraphedeliste"/>
        <w:numPr>
          <w:ilvl w:val="0"/>
          <w:numId w:val="2"/>
        </w:numPr>
      </w:pPr>
      <w:r w:rsidRPr="004818ED">
        <w:rPr>
          <w:highlight w:val="yellow"/>
        </w:rPr>
        <w:t>AINS</w:t>
      </w:r>
      <w:r>
        <w:t xml:space="preserve"> dès la défervescence</w:t>
      </w:r>
    </w:p>
    <w:p w:rsidR="00A5724B" w:rsidRDefault="00A5724B" w:rsidP="00A5724B">
      <w:pPr>
        <w:pStyle w:val="Paragraphedeliste"/>
        <w:numPr>
          <w:ilvl w:val="0"/>
          <w:numId w:val="2"/>
        </w:numPr>
      </w:pPr>
      <w:proofErr w:type="spellStart"/>
      <w:r>
        <w:t>Oestro</w:t>
      </w:r>
      <w:proofErr w:type="spellEnd"/>
      <w:r>
        <w:t xml:space="preserve">-progestatifs pour </w:t>
      </w:r>
      <w:r w:rsidRPr="004818ED">
        <w:rPr>
          <w:highlight w:val="yellow"/>
        </w:rPr>
        <w:t>bloquer l’ovulation</w:t>
      </w:r>
    </w:p>
    <w:p w:rsidR="00A5724B" w:rsidRPr="00FC6CF6" w:rsidRDefault="00A5724B" w:rsidP="00A5724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FC6CF6">
        <w:rPr>
          <w:b/>
          <w:bCs/>
          <w:color w:val="FF0000"/>
        </w:rPr>
        <w:t>TRT chirurgical (cœlioscopie +++)</w:t>
      </w:r>
    </w:p>
    <w:p w:rsidR="00A5724B" w:rsidRDefault="00A5724B" w:rsidP="00A5724B">
      <w:pPr>
        <w:pStyle w:val="Paragraphedeliste"/>
        <w:numPr>
          <w:ilvl w:val="0"/>
          <w:numId w:val="2"/>
        </w:numPr>
      </w:pPr>
      <w:r>
        <w:t>Exceptionnelle : péritonite, pyosalpinx, abcès de l’ovaire ou du Douglas</w:t>
      </w:r>
    </w:p>
    <w:p w:rsidR="00FC6CF6" w:rsidRDefault="00FC6CF6" w:rsidP="00FC6CF6">
      <w:r>
        <w:t>La seule preuve de guérison et l’apparition d’une grossesse intra-utérine évolutive</w:t>
      </w:r>
    </w:p>
    <w:p w:rsidR="00264004" w:rsidRDefault="00264004" w:rsidP="00264004">
      <w:pPr>
        <w:rPr>
          <w:b/>
          <w:bCs/>
          <w:color w:val="FF0000"/>
        </w:rPr>
      </w:pPr>
    </w:p>
    <w:p w:rsidR="00264004" w:rsidRPr="00704C4E" w:rsidRDefault="00264004" w:rsidP="00264004">
      <w:pPr>
        <w:rPr>
          <w:b/>
          <w:bCs/>
          <w:color w:val="FF0000"/>
        </w:rPr>
      </w:pPr>
      <w:r>
        <w:rPr>
          <w:b/>
          <w:bCs/>
          <w:color w:val="FF0000"/>
        </w:rPr>
        <w:t>Anapath</w:t>
      </w:r>
      <w:r w:rsidRPr="00704C4E">
        <w:rPr>
          <w:b/>
          <w:bCs/>
          <w:color w:val="FF0000"/>
        </w:rPr>
        <w:t xml:space="preserve">Trompes de Fallope </w:t>
      </w:r>
    </w:p>
    <w:p w:rsidR="00264004" w:rsidRPr="00704C4E" w:rsidRDefault="00264004" w:rsidP="00264004"/>
    <w:p w:rsidR="00264004" w:rsidRPr="00704C4E" w:rsidRDefault="00264004" w:rsidP="00264004">
      <w:pPr>
        <w:numPr>
          <w:ilvl w:val="0"/>
          <w:numId w:val="4"/>
        </w:numPr>
        <w:spacing w:after="0"/>
      </w:pPr>
      <w:r w:rsidRPr="00704C4E">
        <w:t xml:space="preserve">épithélium cylindrique comportant des cellules ciliées, cellules sécrétoires et cellules intercalaires </w:t>
      </w:r>
    </w:p>
    <w:p w:rsidR="00264004" w:rsidRPr="00704C4E" w:rsidRDefault="00264004" w:rsidP="00264004">
      <w:pPr>
        <w:numPr>
          <w:ilvl w:val="0"/>
          <w:numId w:val="4"/>
        </w:numPr>
        <w:spacing w:after="0"/>
      </w:pPr>
      <w:r w:rsidRPr="00704C4E">
        <w:t xml:space="preserve">tumeurs malignes : il s’agit le plus souvent d’un </w:t>
      </w:r>
      <w:r w:rsidRPr="005745E7">
        <w:rPr>
          <w:highlight w:val="yellow"/>
        </w:rPr>
        <w:t>carcinome tubulo-papillaire différencié sécrétant</w:t>
      </w:r>
      <w:r w:rsidRPr="00704C4E">
        <w:t xml:space="preserve"> =&gt; hydrosalpinx </w:t>
      </w:r>
    </w:p>
    <w:p w:rsidR="00FC6CF6" w:rsidRDefault="00FC6CF6" w:rsidP="00FC6CF6"/>
    <w:sectPr w:rsidR="00FC6CF6" w:rsidSect="00AD1320">
      <w:pgSz w:w="11906" w:h="16838"/>
      <w:pgMar w:top="567" w:right="127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5077"/>
    <w:multiLevelType w:val="hybridMultilevel"/>
    <w:tmpl w:val="6AEEC024"/>
    <w:lvl w:ilvl="0" w:tplc="CCEC382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0C53F5A"/>
    <w:multiLevelType w:val="hybridMultilevel"/>
    <w:tmpl w:val="97507770"/>
    <w:lvl w:ilvl="0" w:tplc="3F0035F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B5731A"/>
    <w:multiLevelType w:val="hybridMultilevel"/>
    <w:tmpl w:val="E758D2C4"/>
    <w:lvl w:ilvl="0" w:tplc="26D6321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D11CFE"/>
    <w:multiLevelType w:val="hybridMultilevel"/>
    <w:tmpl w:val="B9B2676C"/>
    <w:lvl w:ilvl="0" w:tplc="E9504C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A647B"/>
    <w:rsid w:val="001C2708"/>
    <w:rsid w:val="00264004"/>
    <w:rsid w:val="002913EB"/>
    <w:rsid w:val="002F40E2"/>
    <w:rsid w:val="003B16E5"/>
    <w:rsid w:val="003F417B"/>
    <w:rsid w:val="004818ED"/>
    <w:rsid w:val="004A647B"/>
    <w:rsid w:val="005745E7"/>
    <w:rsid w:val="00920342"/>
    <w:rsid w:val="0096386C"/>
    <w:rsid w:val="00A5724B"/>
    <w:rsid w:val="00AC1FA6"/>
    <w:rsid w:val="00AD1320"/>
    <w:rsid w:val="00C758BB"/>
    <w:rsid w:val="00D02663"/>
    <w:rsid w:val="00FC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64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2010-03-24T14:44:00Z</dcterms:created>
  <dcterms:modified xsi:type="dcterms:W3CDTF">2010-03-29T14:02:00Z</dcterms:modified>
</cp:coreProperties>
</file>