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21A" w:rsidRPr="00142431" w:rsidRDefault="00DF521A" w:rsidP="00142431">
      <w:pPr>
        <w:spacing w:line="276" w:lineRule="auto"/>
        <w:jc w:val="center"/>
        <w:rPr>
          <w:rFonts w:ascii="Calibri" w:hAnsi="Calibri"/>
          <w:b/>
          <w:bCs/>
          <w:color w:val="FF0000"/>
          <w:sz w:val="22"/>
          <w:szCs w:val="22"/>
        </w:rPr>
      </w:pPr>
      <w:r w:rsidRPr="00142431">
        <w:rPr>
          <w:rFonts w:ascii="Calibri" w:hAnsi="Calibri"/>
          <w:b/>
          <w:bCs/>
          <w:color w:val="FF0000"/>
          <w:sz w:val="22"/>
          <w:szCs w:val="22"/>
        </w:rPr>
        <w:t>Tuberculose génitale</w:t>
      </w:r>
    </w:p>
    <w:p w:rsidR="00DF521A" w:rsidRPr="00142431" w:rsidRDefault="00DF521A" w:rsidP="00142431">
      <w:pPr>
        <w:spacing w:line="276" w:lineRule="auto"/>
        <w:rPr>
          <w:rFonts w:ascii="Calibri" w:hAnsi="Calibri"/>
          <w:sz w:val="22"/>
          <w:szCs w:val="22"/>
        </w:rPr>
      </w:pPr>
    </w:p>
    <w:p w:rsidR="00DF521A" w:rsidRPr="00142431" w:rsidRDefault="00DF521A" w:rsidP="00142431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>Localisation du BK au niveau de l’appareil génital féminin</w:t>
      </w:r>
    </w:p>
    <w:p w:rsidR="00DF521A" w:rsidRPr="00142431" w:rsidRDefault="00DF521A" w:rsidP="00142431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 xml:space="preserve">Grande pourvoyeuse de </w:t>
      </w:r>
      <w:r w:rsidRPr="00142431">
        <w:rPr>
          <w:rFonts w:ascii="Calibri" w:hAnsi="Calibri"/>
          <w:sz w:val="22"/>
          <w:szCs w:val="22"/>
          <w:highlight w:val="yellow"/>
        </w:rPr>
        <w:t>stérilité</w:t>
      </w:r>
      <w:r w:rsidRPr="00142431">
        <w:rPr>
          <w:rFonts w:ascii="Calibri" w:hAnsi="Calibri"/>
          <w:sz w:val="22"/>
          <w:szCs w:val="22"/>
        </w:rPr>
        <w:t xml:space="preserve"> d’où l’intérêt d’un diagnostic précoce </w:t>
      </w:r>
    </w:p>
    <w:p w:rsidR="00DF521A" w:rsidRPr="00142431" w:rsidRDefault="00DF521A" w:rsidP="00142431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 xml:space="preserve">Survenue entre </w:t>
      </w:r>
      <w:r w:rsidRPr="00142431">
        <w:rPr>
          <w:rFonts w:ascii="Calibri" w:hAnsi="Calibri"/>
          <w:sz w:val="22"/>
          <w:szCs w:val="22"/>
          <w:highlight w:val="yellow"/>
        </w:rPr>
        <w:t>20 et 35ans</w:t>
      </w:r>
      <w:r w:rsidRPr="00142431">
        <w:rPr>
          <w:rFonts w:ascii="Calibri" w:hAnsi="Calibri"/>
          <w:sz w:val="22"/>
          <w:szCs w:val="22"/>
        </w:rPr>
        <w:t xml:space="preserve">, formes pré pubertaires exceptionnelles </w:t>
      </w:r>
    </w:p>
    <w:p w:rsidR="00DF521A" w:rsidRPr="00142431" w:rsidRDefault="00DF521A" w:rsidP="00142431">
      <w:pPr>
        <w:spacing w:line="276" w:lineRule="auto"/>
        <w:rPr>
          <w:rFonts w:ascii="Calibri" w:hAnsi="Calibri"/>
          <w:sz w:val="22"/>
          <w:szCs w:val="22"/>
        </w:rPr>
      </w:pPr>
    </w:p>
    <w:p w:rsidR="00DF521A" w:rsidRPr="00142431" w:rsidRDefault="00DF521A" w:rsidP="00142431">
      <w:pPr>
        <w:spacing w:line="276" w:lineRule="auto"/>
        <w:rPr>
          <w:rFonts w:ascii="Calibri" w:hAnsi="Calibri"/>
          <w:b/>
          <w:bCs/>
          <w:color w:val="FF0000"/>
          <w:sz w:val="22"/>
          <w:szCs w:val="22"/>
        </w:rPr>
      </w:pPr>
      <w:r w:rsidRPr="00142431">
        <w:rPr>
          <w:rFonts w:ascii="Calibri" w:hAnsi="Calibri"/>
          <w:b/>
          <w:bCs/>
          <w:color w:val="FF0000"/>
          <w:sz w:val="22"/>
          <w:szCs w:val="22"/>
        </w:rPr>
        <w:t>Pathogénie :</w:t>
      </w:r>
    </w:p>
    <w:p w:rsidR="00DF521A" w:rsidRPr="00142431" w:rsidRDefault="00DF521A" w:rsidP="00142431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>La contamination est secondaire par voie hématogène surtout ou par contigüité (TBK digestive, urinaire), la contamination primitive par voie ascendante vénérienne est exceptionnelle</w:t>
      </w:r>
    </w:p>
    <w:p w:rsidR="00DF521A" w:rsidRPr="00142431" w:rsidRDefault="00DF521A" w:rsidP="00142431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  <w:highlight w:val="yellow"/>
        </w:rPr>
        <w:t>L’atteinte des trompes est constante et bilatérale par voie hématogène</w:t>
      </w:r>
      <w:r w:rsidRPr="00142431">
        <w:rPr>
          <w:rFonts w:ascii="Calibri" w:hAnsi="Calibri"/>
          <w:sz w:val="22"/>
          <w:szCs w:val="22"/>
        </w:rPr>
        <w:t xml:space="preserve"> </w:t>
      </w:r>
    </w:p>
    <w:p w:rsidR="00DF521A" w:rsidRPr="00142431" w:rsidRDefault="00DF521A" w:rsidP="00142431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>Propagation de proche en proche vers le péritoine, l</w:t>
      </w:r>
      <w:r w:rsidRPr="00142431">
        <w:rPr>
          <w:rFonts w:ascii="Calibri" w:hAnsi="Calibri"/>
          <w:sz w:val="22"/>
          <w:szCs w:val="22"/>
          <w:highlight w:val="yellow"/>
        </w:rPr>
        <w:t>’endomètre est atteint dans 80% des cas</w:t>
      </w:r>
      <w:r w:rsidRPr="00142431">
        <w:rPr>
          <w:rFonts w:ascii="Calibri" w:hAnsi="Calibri"/>
          <w:sz w:val="22"/>
          <w:szCs w:val="22"/>
        </w:rPr>
        <w:t xml:space="preserve"> avec risque de synéchies</w:t>
      </w:r>
    </w:p>
    <w:p w:rsidR="00DF521A" w:rsidRPr="00142431" w:rsidRDefault="00DF521A" w:rsidP="00142431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>L’atteinte des ovaires, du col et du vagin sont rare</w:t>
      </w:r>
      <w:r w:rsidR="00142431">
        <w:rPr>
          <w:rFonts w:ascii="Calibri" w:hAnsi="Calibri"/>
          <w:sz w:val="22"/>
          <w:szCs w:val="22"/>
        </w:rPr>
        <w:t>s</w:t>
      </w:r>
      <w:r w:rsidRPr="00142431">
        <w:rPr>
          <w:rFonts w:ascii="Calibri" w:hAnsi="Calibri"/>
          <w:sz w:val="22"/>
          <w:szCs w:val="22"/>
        </w:rPr>
        <w:t xml:space="preserve"> </w:t>
      </w:r>
    </w:p>
    <w:p w:rsidR="00DF521A" w:rsidRPr="00142431" w:rsidRDefault="00DF521A" w:rsidP="00142431">
      <w:pPr>
        <w:spacing w:line="276" w:lineRule="auto"/>
        <w:rPr>
          <w:rFonts w:ascii="Calibri" w:hAnsi="Calibri"/>
          <w:sz w:val="22"/>
          <w:szCs w:val="22"/>
        </w:rPr>
      </w:pPr>
    </w:p>
    <w:p w:rsidR="00DF521A" w:rsidRPr="00142431" w:rsidRDefault="00DF521A" w:rsidP="00142431">
      <w:pPr>
        <w:spacing w:line="276" w:lineRule="auto"/>
        <w:rPr>
          <w:rFonts w:ascii="Calibri" w:hAnsi="Calibri"/>
          <w:b/>
          <w:bCs/>
          <w:color w:val="FF0000"/>
          <w:sz w:val="22"/>
          <w:szCs w:val="22"/>
        </w:rPr>
      </w:pPr>
      <w:r w:rsidRPr="00142431">
        <w:rPr>
          <w:rFonts w:ascii="Calibri" w:hAnsi="Calibri"/>
          <w:b/>
          <w:bCs/>
          <w:color w:val="FF0000"/>
          <w:sz w:val="22"/>
          <w:szCs w:val="22"/>
        </w:rPr>
        <w:t>Clinique :</w:t>
      </w:r>
    </w:p>
    <w:p w:rsidR="00CB018E" w:rsidRPr="00142431" w:rsidRDefault="00DF521A" w:rsidP="00142431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 xml:space="preserve">survient chez une femme entre 20-35ans qui consulte pour </w:t>
      </w:r>
      <w:r w:rsidRPr="00142431">
        <w:rPr>
          <w:rFonts w:ascii="Calibri" w:hAnsi="Calibri"/>
          <w:sz w:val="22"/>
          <w:szCs w:val="22"/>
          <w:highlight w:val="yellow"/>
        </w:rPr>
        <w:t>stérilité</w:t>
      </w:r>
      <w:r w:rsidRPr="00142431">
        <w:rPr>
          <w:rFonts w:ascii="Calibri" w:hAnsi="Calibri"/>
          <w:sz w:val="22"/>
          <w:szCs w:val="22"/>
        </w:rPr>
        <w:t xml:space="preserve">, </w:t>
      </w:r>
      <w:r w:rsidRPr="00142431">
        <w:rPr>
          <w:rFonts w:ascii="Calibri" w:hAnsi="Calibri"/>
          <w:sz w:val="22"/>
          <w:szCs w:val="22"/>
          <w:highlight w:val="yellow"/>
        </w:rPr>
        <w:t>aménorrhée</w:t>
      </w:r>
      <w:r w:rsidR="00CB018E" w:rsidRPr="00142431">
        <w:rPr>
          <w:rFonts w:ascii="Calibri" w:hAnsi="Calibri"/>
          <w:sz w:val="22"/>
          <w:szCs w:val="22"/>
          <w:highlight w:val="yellow"/>
        </w:rPr>
        <w:t>s</w:t>
      </w:r>
      <w:r w:rsidRPr="00142431">
        <w:rPr>
          <w:rFonts w:ascii="Calibri" w:hAnsi="Calibri"/>
          <w:sz w:val="22"/>
          <w:szCs w:val="22"/>
          <w:highlight w:val="yellow"/>
        </w:rPr>
        <w:t xml:space="preserve"> primaire</w:t>
      </w:r>
      <w:r w:rsidR="00CB018E" w:rsidRPr="00142431">
        <w:rPr>
          <w:rFonts w:ascii="Calibri" w:hAnsi="Calibri"/>
          <w:sz w:val="22"/>
          <w:szCs w:val="22"/>
          <w:highlight w:val="yellow"/>
        </w:rPr>
        <w:t>s ou secondaires</w:t>
      </w:r>
      <w:r w:rsidRPr="00142431">
        <w:rPr>
          <w:rFonts w:ascii="Calibri" w:hAnsi="Calibri"/>
          <w:sz w:val="22"/>
          <w:szCs w:val="22"/>
        </w:rPr>
        <w:t xml:space="preserve">, </w:t>
      </w:r>
      <w:r w:rsidRPr="00142431">
        <w:rPr>
          <w:rFonts w:ascii="Calibri" w:hAnsi="Calibri"/>
          <w:sz w:val="22"/>
          <w:szCs w:val="22"/>
          <w:highlight w:val="yellow"/>
        </w:rPr>
        <w:t>douleurs pelviennes</w:t>
      </w:r>
    </w:p>
    <w:p w:rsidR="00DF521A" w:rsidRPr="00142431" w:rsidRDefault="00CB018E" w:rsidP="00142431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 xml:space="preserve">primo infection passée inaperçue </w:t>
      </w:r>
      <w:r w:rsidR="00DF521A" w:rsidRPr="00142431">
        <w:rPr>
          <w:rFonts w:ascii="Calibri" w:hAnsi="Calibri"/>
          <w:sz w:val="22"/>
          <w:szCs w:val="22"/>
        </w:rPr>
        <w:t xml:space="preserve"> </w:t>
      </w:r>
    </w:p>
    <w:p w:rsidR="00DF521A" w:rsidRPr="00142431" w:rsidRDefault="00DF521A" w:rsidP="00142431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>l’examen clinique est presque toujours normal, avec notion de contage, de douleurs pelviennes…</w:t>
      </w:r>
    </w:p>
    <w:p w:rsidR="00DF521A" w:rsidRPr="00142431" w:rsidRDefault="00DF521A" w:rsidP="00142431">
      <w:pPr>
        <w:spacing w:line="276" w:lineRule="auto"/>
        <w:rPr>
          <w:rFonts w:ascii="Calibri" w:hAnsi="Calibri"/>
          <w:b/>
          <w:bCs/>
          <w:color w:val="FF0000"/>
          <w:sz w:val="22"/>
          <w:szCs w:val="22"/>
        </w:rPr>
      </w:pPr>
    </w:p>
    <w:p w:rsidR="00CB018E" w:rsidRPr="00142431" w:rsidRDefault="00DF521A" w:rsidP="00142431">
      <w:pPr>
        <w:spacing w:line="276" w:lineRule="auto"/>
        <w:rPr>
          <w:rFonts w:ascii="Calibri" w:hAnsi="Calibri"/>
          <w:b/>
          <w:bCs/>
          <w:color w:val="FF0000"/>
          <w:sz w:val="22"/>
          <w:szCs w:val="22"/>
        </w:rPr>
      </w:pPr>
      <w:r w:rsidRPr="00142431">
        <w:rPr>
          <w:rFonts w:ascii="Calibri" w:hAnsi="Calibri"/>
          <w:b/>
          <w:bCs/>
          <w:color w:val="FF0000"/>
          <w:sz w:val="22"/>
          <w:szCs w:val="22"/>
        </w:rPr>
        <w:t xml:space="preserve">Paraclinique : </w:t>
      </w:r>
    </w:p>
    <w:p w:rsidR="00CB018E" w:rsidRPr="00142431" w:rsidRDefault="00CB018E" w:rsidP="00142431">
      <w:pPr>
        <w:numPr>
          <w:ilvl w:val="0"/>
          <w:numId w:val="1"/>
        </w:numPr>
        <w:spacing w:line="276" w:lineRule="auto"/>
        <w:rPr>
          <w:rFonts w:ascii="Calibri" w:hAnsi="Calibri"/>
          <w:b/>
          <w:bCs/>
          <w:sz w:val="22"/>
          <w:szCs w:val="22"/>
        </w:rPr>
      </w:pPr>
      <w:r w:rsidRPr="00142431">
        <w:rPr>
          <w:rFonts w:ascii="Calibri" w:hAnsi="Calibri"/>
          <w:b/>
          <w:bCs/>
          <w:sz w:val="22"/>
          <w:szCs w:val="22"/>
        </w:rPr>
        <w:t>examens de première intension</w:t>
      </w:r>
    </w:p>
    <w:p w:rsidR="00CB018E" w:rsidRPr="00142431" w:rsidRDefault="00CB018E" w:rsidP="00142431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 xml:space="preserve">IDR à la tuberculine, NFS, VS </w:t>
      </w:r>
    </w:p>
    <w:p w:rsidR="00CB018E" w:rsidRPr="00142431" w:rsidRDefault="00CB018E" w:rsidP="00142431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 xml:space="preserve">TLT trace de primo infection ou normal </w:t>
      </w:r>
    </w:p>
    <w:p w:rsidR="00CB018E" w:rsidRPr="00142431" w:rsidRDefault="00CB018E" w:rsidP="00142431">
      <w:pPr>
        <w:numPr>
          <w:ilvl w:val="0"/>
          <w:numId w:val="1"/>
        </w:numPr>
        <w:spacing w:line="276" w:lineRule="auto"/>
        <w:rPr>
          <w:rFonts w:ascii="Calibri" w:hAnsi="Calibri"/>
          <w:b/>
          <w:bCs/>
          <w:sz w:val="22"/>
          <w:szCs w:val="22"/>
        </w:rPr>
      </w:pPr>
      <w:r w:rsidRPr="00142431">
        <w:rPr>
          <w:rFonts w:ascii="Calibri" w:hAnsi="Calibri"/>
          <w:b/>
          <w:bCs/>
          <w:sz w:val="22"/>
          <w:szCs w:val="22"/>
        </w:rPr>
        <w:t xml:space="preserve">Examens spécifiques de </w:t>
      </w:r>
      <w:smartTag w:uri="urn:schemas-microsoft-com:office:smarttags" w:element="PersonName">
        <w:smartTagPr>
          <w:attr w:name="ProductID" w:val="la TG"/>
        </w:smartTagPr>
        <w:r w:rsidRPr="00142431">
          <w:rPr>
            <w:rFonts w:ascii="Calibri" w:hAnsi="Calibri"/>
            <w:b/>
            <w:bCs/>
            <w:sz w:val="22"/>
            <w:szCs w:val="22"/>
          </w:rPr>
          <w:t>la TG</w:t>
        </w:r>
      </w:smartTag>
    </w:p>
    <w:p w:rsidR="00CB018E" w:rsidRPr="00142431" w:rsidRDefault="00CB018E" w:rsidP="00142431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  <w:highlight w:val="yellow"/>
        </w:rPr>
        <w:t>Biopsie de l’endomètre</w:t>
      </w:r>
      <w:r w:rsidR="00CB3F90" w:rsidRPr="00142431">
        <w:rPr>
          <w:rFonts w:ascii="Calibri" w:hAnsi="Calibri"/>
          <w:sz w:val="22"/>
          <w:szCs w:val="22"/>
        </w:rPr>
        <w:t> : en fin de cycle juste avant les règle</w:t>
      </w:r>
      <w:r w:rsidR="008323F6" w:rsidRPr="00142431">
        <w:rPr>
          <w:rFonts w:ascii="Calibri" w:hAnsi="Calibri"/>
          <w:sz w:val="22"/>
          <w:szCs w:val="22"/>
        </w:rPr>
        <w:t>s</w:t>
      </w:r>
      <w:r w:rsidR="00CB3F90" w:rsidRPr="00142431">
        <w:rPr>
          <w:rFonts w:ascii="Calibri" w:hAnsi="Calibri"/>
          <w:sz w:val="22"/>
          <w:szCs w:val="22"/>
        </w:rPr>
        <w:t xml:space="preserve"> </w:t>
      </w:r>
      <w:r w:rsidR="008323F6" w:rsidRPr="00142431">
        <w:rPr>
          <w:rFonts w:ascii="Calibri" w:hAnsi="Calibri"/>
          <w:sz w:val="22"/>
          <w:szCs w:val="22"/>
        </w:rPr>
        <w:t xml:space="preserve">à la recherche du </w:t>
      </w:r>
      <w:r w:rsidR="008323F6" w:rsidRPr="00142431">
        <w:rPr>
          <w:rFonts w:ascii="Calibri" w:hAnsi="Calibri"/>
          <w:sz w:val="22"/>
          <w:szCs w:val="22"/>
          <w:highlight w:val="yellow"/>
        </w:rPr>
        <w:t xml:space="preserve">follicule de </w:t>
      </w:r>
      <w:proofErr w:type="spellStart"/>
      <w:r w:rsidR="008323F6" w:rsidRPr="00142431">
        <w:rPr>
          <w:rFonts w:ascii="Calibri" w:hAnsi="Calibri"/>
          <w:sz w:val="22"/>
          <w:szCs w:val="22"/>
          <w:highlight w:val="yellow"/>
        </w:rPr>
        <w:t>Kœster</w:t>
      </w:r>
      <w:proofErr w:type="spellEnd"/>
      <w:r w:rsidR="008323F6" w:rsidRPr="00142431">
        <w:rPr>
          <w:rFonts w:ascii="Calibri" w:hAnsi="Calibri"/>
          <w:sz w:val="22"/>
          <w:szCs w:val="22"/>
        </w:rPr>
        <w:t xml:space="preserve"> + mise en culture </w:t>
      </w:r>
    </w:p>
    <w:p w:rsidR="00CB018E" w:rsidRPr="00142431" w:rsidRDefault="00CB018E" w:rsidP="00142431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  <w:highlight w:val="yellow"/>
        </w:rPr>
        <w:t>Culture de sang des règles</w:t>
      </w:r>
      <w:r w:rsidR="008323F6" w:rsidRPr="00142431">
        <w:rPr>
          <w:rFonts w:ascii="Calibri" w:hAnsi="Calibri"/>
          <w:sz w:val="22"/>
          <w:szCs w:val="22"/>
        </w:rPr>
        <w:t xml:space="preserve"> : répétées car souvent négatives </w:t>
      </w:r>
    </w:p>
    <w:p w:rsidR="00CB018E" w:rsidRPr="00142431" w:rsidRDefault="00CB018E" w:rsidP="00142431">
      <w:pPr>
        <w:numPr>
          <w:ilvl w:val="0"/>
          <w:numId w:val="1"/>
        </w:numPr>
        <w:spacing w:line="276" w:lineRule="auto"/>
        <w:rPr>
          <w:rFonts w:ascii="Calibri" w:hAnsi="Calibri"/>
          <w:b/>
          <w:bCs/>
          <w:sz w:val="22"/>
          <w:szCs w:val="22"/>
        </w:rPr>
      </w:pPr>
      <w:r w:rsidRPr="00142431">
        <w:rPr>
          <w:rFonts w:ascii="Calibri" w:hAnsi="Calibri"/>
          <w:b/>
          <w:bCs/>
          <w:sz w:val="22"/>
          <w:szCs w:val="22"/>
        </w:rPr>
        <w:t>Examens essentiels</w:t>
      </w:r>
      <w:r w:rsidR="00CB3F90" w:rsidRPr="00142431">
        <w:rPr>
          <w:rFonts w:ascii="Calibri" w:hAnsi="Calibri"/>
          <w:b/>
          <w:bCs/>
          <w:sz w:val="22"/>
          <w:szCs w:val="22"/>
        </w:rPr>
        <w:t> :</w:t>
      </w:r>
    </w:p>
    <w:p w:rsidR="008323F6" w:rsidRPr="00142431" w:rsidRDefault="00CB3F90" w:rsidP="00142431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  <w:highlight w:val="yellow"/>
        </w:rPr>
        <w:t>Hystérosalpingographie HSG</w:t>
      </w:r>
      <w:r w:rsidR="008323F6" w:rsidRPr="00142431">
        <w:rPr>
          <w:rFonts w:ascii="Calibri" w:hAnsi="Calibri"/>
          <w:sz w:val="22"/>
          <w:szCs w:val="22"/>
        </w:rPr>
        <w:t> : premier examen demandé en cas de stérilité en absence d’infections</w:t>
      </w:r>
    </w:p>
    <w:p w:rsidR="006B4B1E" w:rsidRPr="00142431" w:rsidRDefault="006B4B1E" w:rsidP="00142431">
      <w:pPr>
        <w:numPr>
          <w:ilvl w:val="1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 xml:space="preserve">L’ASP peut montrer des calcifications  dans l’aire pelvienne </w:t>
      </w:r>
    </w:p>
    <w:p w:rsidR="008323F6" w:rsidRPr="00142431" w:rsidRDefault="008323F6" w:rsidP="00142431">
      <w:pPr>
        <w:numPr>
          <w:ilvl w:val="1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>Anomalies utérine</w:t>
      </w:r>
      <w:r w:rsidR="006B4B1E" w:rsidRPr="00142431">
        <w:rPr>
          <w:rFonts w:ascii="Calibri" w:hAnsi="Calibri"/>
          <w:sz w:val="22"/>
          <w:szCs w:val="22"/>
        </w:rPr>
        <w:t xml:space="preserve"> : souvent normal ou images de </w:t>
      </w:r>
      <w:r w:rsidR="006B4B1E" w:rsidRPr="00142431">
        <w:rPr>
          <w:rFonts w:ascii="Calibri" w:hAnsi="Calibri"/>
          <w:sz w:val="22"/>
          <w:szCs w:val="22"/>
          <w:highlight w:val="yellow"/>
        </w:rPr>
        <w:t>synéchie</w:t>
      </w:r>
      <w:r w:rsidR="006B4B1E" w:rsidRPr="00142431">
        <w:rPr>
          <w:rFonts w:ascii="Calibri" w:hAnsi="Calibri"/>
          <w:sz w:val="22"/>
          <w:szCs w:val="22"/>
        </w:rPr>
        <w:t xml:space="preserve"> (image en doigts de gant, en trèfle ou utérus pas du tout opacifié), </w:t>
      </w:r>
      <w:r w:rsidR="006B4B1E" w:rsidRPr="00142431">
        <w:rPr>
          <w:rFonts w:ascii="Calibri" w:hAnsi="Calibri"/>
          <w:sz w:val="22"/>
          <w:szCs w:val="22"/>
          <w:highlight w:val="yellow"/>
        </w:rPr>
        <w:t>image d’injection vasculaire (TBK évolutive)</w:t>
      </w:r>
      <w:r w:rsidR="006B4B1E" w:rsidRPr="00142431">
        <w:rPr>
          <w:rFonts w:ascii="Calibri" w:hAnsi="Calibri"/>
          <w:sz w:val="22"/>
          <w:szCs w:val="22"/>
        </w:rPr>
        <w:t xml:space="preserve"> </w:t>
      </w:r>
    </w:p>
    <w:p w:rsidR="008323F6" w:rsidRPr="00142431" w:rsidRDefault="008323F6" w:rsidP="00142431">
      <w:pPr>
        <w:numPr>
          <w:ilvl w:val="1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>Anomalies tubaires</w:t>
      </w:r>
      <w:r w:rsidRPr="00142431">
        <w:rPr>
          <w:rFonts w:ascii="Calibri" w:hAnsi="Calibri"/>
          <w:sz w:val="22"/>
          <w:szCs w:val="22"/>
        </w:rPr>
        <w:tab/>
      </w:r>
      <w:r w:rsidR="006B4B1E" w:rsidRPr="00142431">
        <w:rPr>
          <w:rFonts w:ascii="Calibri" w:hAnsi="Calibri"/>
          <w:sz w:val="22"/>
          <w:szCs w:val="22"/>
        </w:rPr>
        <w:t xml:space="preserve">: constantes, aspect en </w:t>
      </w:r>
      <w:r w:rsidR="006B4B1E" w:rsidRPr="00142431">
        <w:rPr>
          <w:rFonts w:ascii="Calibri" w:hAnsi="Calibri"/>
          <w:sz w:val="22"/>
          <w:szCs w:val="22"/>
          <w:highlight w:val="yellow"/>
        </w:rPr>
        <w:t>chapelet</w:t>
      </w:r>
      <w:r w:rsidR="006B4B1E" w:rsidRPr="00142431">
        <w:rPr>
          <w:rFonts w:ascii="Calibri" w:hAnsi="Calibri"/>
          <w:sz w:val="22"/>
          <w:szCs w:val="22"/>
        </w:rPr>
        <w:t xml:space="preserve">, en </w:t>
      </w:r>
      <w:r w:rsidR="006B4B1E" w:rsidRPr="00142431">
        <w:rPr>
          <w:rFonts w:ascii="Calibri" w:hAnsi="Calibri"/>
          <w:sz w:val="22"/>
          <w:szCs w:val="22"/>
          <w:highlight w:val="yellow"/>
        </w:rPr>
        <w:t>canne de golf</w:t>
      </w:r>
      <w:r w:rsidR="006B4B1E" w:rsidRPr="00142431">
        <w:rPr>
          <w:rFonts w:ascii="Calibri" w:hAnsi="Calibri"/>
          <w:sz w:val="22"/>
          <w:szCs w:val="22"/>
        </w:rPr>
        <w:t xml:space="preserve">, images pseudo diverticulaires et ulcéreuses, </w:t>
      </w:r>
      <w:r w:rsidR="006B4B1E" w:rsidRPr="00142431">
        <w:rPr>
          <w:rFonts w:ascii="Calibri" w:hAnsi="Calibri"/>
          <w:sz w:val="22"/>
          <w:szCs w:val="22"/>
          <w:highlight w:val="yellow"/>
        </w:rPr>
        <w:t>aspect flouté des bords (TBK évolutive)</w:t>
      </w:r>
    </w:p>
    <w:p w:rsidR="006B4B1E" w:rsidRPr="00142431" w:rsidRDefault="00CB3F90" w:rsidP="00142431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  <w:highlight w:val="yellow"/>
        </w:rPr>
        <w:t>Cœlioscopie</w:t>
      </w:r>
      <w:r w:rsidR="006B4B1E" w:rsidRPr="00142431">
        <w:rPr>
          <w:rFonts w:ascii="Calibri" w:hAnsi="Calibri"/>
          <w:sz w:val="22"/>
          <w:szCs w:val="22"/>
        </w:rPr>
        <w:t xml:space="preserve"> : dans le cadre de l’exploration d’une stérilité, adhérence pelviennes, granulations péritonéales blanchâtres, permet des </w:t>
      </w:r>
      <w:r w:rsidR="00142431" w:rsidRPr="00142431">
        <w:rPr>
          <w:rFonts w:ascii="Calibri" w:hAnsi="Calibri"/>
          <w:sz w:val="22"/>
          <w:szCs w:val="22"/>
        </w:rPr>
        <w:t>prélèvements</w:t>
      </w:r>
      <w:r w:rsidR="006B4B1E" w:rsidRPr="00142431">
        <w:rPr>
          <w:rFonts w:ascii="Calibri" w:hAnsi="Calibri"/>
          <w:sz w:val="22"/>
          <w:szCs w:val="22"/>
        </w:rPr>
        <w:t xml:space="preserve"> pour étude histologique </w:t>
      </w:r>
    </w:p>
    <w:p w:rsidR="006B4B1E" w:rsidRPr="00142431" w:rsidRDefault="006B4B1E" w:rsidP="00142431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sz w:val="22"/>
          <w:szCs w:val="22"/>
        </w:rPr>
        <w:t xml:space="preserve">le diagnostic bactériologique est inconstant (50%) le diagnostic est présomptif </w:t>
      </w:r>
    </w:p>
    <w:p w:rsidR="006B4B1E" w:rsidRPr="00142431" w:rsidRDefault="006B4B1E" w:rsidP="00142431">
      <w:pPr>
        <w:spacing w:line="276" w:lineRule="auto"/>
        <w:rPr>
          <w:rFonts w:ascii="Calibri" w:hAnsi="Calibri"/>
          <w:color w:val="FF0000"/>
          <w:sz w:val="22"/>
          <w:szCs w:val="22"/>
        </w:rPr>
      </w:pPr>
    </w:p>
    <w:p w:rsidR="006B4B1E" w:rsidRPr="00142431" w:rsidRDefault="006B4B1E" w:rsidP="00142431">
      <w:pPr>
        <w:spacing w:line="276" w:lineRule="auto"/>
        <w:rPr>
          <w:rFonts w:ascii="Calibri" w:hAnsi="Calibri"/>
          <w:b/>
          <w:bCs/>
          <w:color w:val="FF0000"/>
          <w:sz w:val="22"/>
          <w:szCs w:val="22"/>
        </w:rPr>
      </w:pPr>
      <w:r w:rsidRPr="00142431">
        <w:rPr>
          <w:rFonts w:ascii="Calibri" w:hAnsi="Calibri"/>
          <w:b/>
          <w:bCs/>
          <w:color w:val="FF0000"/>
          <w:sz w:val="22"/>
          <w:szCs w:val="22"/>
        </w:rPr>
        <w:t>Traitement :</w:t>
      </w:r>
    </w:p>
    <w:p w:rsidR="006B4B1E" w:rsidRPr="00142431" w:rsidRDefault="006B4B1E" w:rsidP="00142431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b/>
          <w:bCs/>
          <w:sz w:val="22"/>
          <w:szCs w:val="22"/>
        </w:rPr>
        <w:t>médical </w:t>
      </w:r>
      <w:r w:rsidRPr="00142431">
        <w:rPr>
          <w:rFonts w:ascii="Calibri" w:hAnsi="Calibri"/>
          <w:sz w:val="22"/>
          <w:szCs w:val="22"/>
        </w:rPr>
        <w:t xml:space="preserve">: </w:t>
      </w:r>
      <w:r w:rsidRPr="00142431">
        <w:rPr>
          <w:rFonts w:ascii="Calibri" w:hAnsi="Calibri"/>
          <w:sz w:val="22"/>
          <w:szCs w:val="22"/>
          <w:highlight w:val="yellow"/>
        </w:rPr>
        <w:t>2SRHZ/4RH</w:t>
      </w:r>
    </w:p>
    <w:p w:rsidR="006B4B1E" w:rsidRPr="00142431" w:rsidRDefault="006B4B1E" w:rsidP="00142431">
      <w:pPr>
        <w:spacing w:line="276" w:lineRule="auto"/>
        <w:ind w:left="360"/>
        <w:rPr>
          <w:rFonts w:ascii="Calibri" w:hAnsi="Calibri"/>
          <w:sz w:val="22"/>
          <w:szCs w:val="22"/>
        </w:rPr>
      </w:pPr>
    </w:p>
    <w:p w:rsidR="006B4B1E" w:rsidRPr="00142431" w:rsidRDefault="006B4B1E" w:rsidP="00142431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142431">
        <w:rPr>
          <w:rFonts w:ascii="Calibri" w:hAnsi="Calibri"/>
          <w:b/>
          <w:bCs/>
          <w:sz w:val="22"/>
          <w:szCs w:val="22"/>
        </w:rPr>
        <w:t>chirurgical</w:t>
      </w:r>
      <w:r w:rsidRPr="00142431">
        <w:rPr>
          <w:rFonts w:ascii="Calibri" w:hAnsi="Calibri"/>
          <w:sz w:val="22"/>
          <w:szCs w:val="22"/>
        </w:rPr>
        <w:t xml:space="preserve"> : </w:t>
      </w:r>
      <w:r w:rsidRPr="00142431">
        <w:rPr>
          <w:rFonts w:ascii="Calibri" w:hAnsi="Calibri"/>
          <w:sz w:val="22"/>
          <w:szCs w:val="22"/>
          <w:highlight w:val="yellow"/>
        </w:rPr>
        <w:t>CI dans le cas d’une stérilité</w:t>
      </w:r>
      <w:r w:rsidRPr="00142431">
        <w:rPr>
          <w:rFonts w:ascii="Calibri" w:hAnsi="Calibri"/>
          <w:sz w:val="22"/>
          <w:szCs w:val="22"/>
        </w:rPr>
        <w:t xml:space="preserve">, indication dans les gros pyosaplinx </w:t>
      </w:r>
    </w:p>
    <w:sectPr w:rsidR="006B4B1E" w:rsidRPr="00142431" w:rsidSect="00DF521A">
      <w:pgSz w:w="11906" w:h="16838"/>
      <w:pgMar w:top="1417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85859"/>
    <w:multiLevelType w:val="hybridMultilevel"/>
    <w:tmpl w:val="C0CABC3C"/>
    <w:lvl w:ilvl="0" w:tplc="8014E1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051977"/>
    <w:multiLevelType w:val="hybridMultilevel"/>
    <w:tmpl w:val="BF0473E2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397112"/>
    <w:multiLevelType w:val="hybridMultilevel"/>
    <w:tmpl w:val="D0F62C4A"/>
    <w:lvl w:ilvl="0" w:tplc="040C0001"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hyphenationZone w:val="425"/>
  <w:characterSpacingControl w:val="doNotCompress"/>
  <w:compat/>
  <w:rsids>
    <w:rsidRoot w:val="00DF521A"/>
    <w:rsid w:val="00055BCF"/>
    <w:rsid w:val="00142431"/>
    <w:rsid w:val="004376B5"/>
    <w:rsid w:val="00632109"/>
    <w:rsid w:val="006B4B1E"/>
    <w:rsid w:val="008323F6"/>
    <w:rsid w:val="009E14B5"/>
    <w:rsid w:val="00AD4620"/>
    <w:rsid w:val="00CB018E"/>
    <w:rsid w:val="00CB3F90"/>
    <w:rsid w:val="00DF5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32109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Tuberculose génitale </vt:lpstr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Tuberculose génitale</dc:title>
  <dc:creator>megh</dc:creator>
  <cp:lastModifiedBy>HOUSSEM</cp:lastModifiedBy>
  <cp:revision>3</cp:revision>
  <dcterms:created xsi:type="dcterms:W3CDTF">2010-03-24T20:14:00Z</dcterms:created>
  <dcterms:modified xsi:type="dcterms:W3CDTF">2012-08-29T22:32:00Z</dcterms:modified>
</cp:coreProperties>
</file>