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20BEF" w:rsidRDefault="00A50D55" w:rsidP="00E20BEF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smartTag w:uri="urn:schemas-microsoft-com:office:smarttags" w:element="PersonName">
        <w:smartTagPr>
          <w:attr w:name="ProductID" w:val="LA MENOPAUSE"/>
        </w:smartTagPr>
        <w:r w:rsidRPr="00E20BEF">
          <w:rPr>
            <w:rFonts w:asciiTheme="minorHAnsi" w:hAnsiTheme="minorHAnsi"/>
            <w:b/>
            <w:color w:val="FF0000"/>
            <w:sz w:val="22"/>
            <w:szCs w:val="22"/>
          </w:rPr>
          <w:t>LA MENOPAUSE</w:t>
        </w:r>
      </w:smartTag>
    </w:p>
    <w:p w:rsidR="00A50D55" w:rsidRPr="00E20BEF" w:rsidRDefault="00A50D55" w:rsidP="00E20BE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D5709" w:rsidRPr="00E20BEF" w:rsidRDefault="007D5709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disparition du cycle menstruel secondaire à l’épuisement du capital folliculaire ovarien</w:t>
      </w:r>
    </w:p>
    <w:p w:rsidR="007D5709" w:rsidRPr="00E20BEF" w:rsidRDefault="007D5709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survient vers l’âge de 50ans </w:t>
      </w:r>
    </w:p>
    <w:p w:rsidR="007D5709" w:rsidRPr="00E20BEF" w:rsidRDefault="007D5709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précédé de la </w:t>
      </w:r>
      <w:r w:rsidR="00AC51BB">
        <w:rPr>
          <w:rFonts w:asciiTheme="minorHAnsi" w:hAnsiTheme="minorHAnsi"/>
          <w:sz w:val="22"/>
          <w:szCs w:val="22"/>
        </w:rPr>
        <w:t>pré-</w:t>
      </w:r>
      <w:r w:rsidR="00402CCC" w:rsidRPr="00E20BEF">
        <w:rPr>
          <w:rFonts w:asciiTheme="minorHAnsi" w:hAnsiTheme="minorHAnsi"/>
          <w:sz w:val="22"/>
          <w:szCs w:val="22"/>
        </w:rPr>
        <w:t>ménopause</w:t>
      </w:r>
      <w:r w:rsidRPr="00E20BEF">
        <w:rPr>
          <w:rFonts w:asciiTheme="minorHAnsi" w:hAnsiTheme="minorHAnsi"/>
          <w:sz w:val="22"/>
          <w:szCs w:val="22"/>
        </w:rPr>
        <w:t xml:space="preserve"> qui dure quelque</w:t>
      </w:r>
      <w:r w:rsidR="00AC51BB">
        <w:rPr>
          <w:rFonts w:asciiTheme="minorHAnsi" w:hAnsiTheme="minorHAnsi"/>
          <w:sz w:val="22"/>
          <w:szCs w:val="22"/>
        </w:rPr>
        <w:t>s</w:t>
      </w:r>
      <w:r w:rsidRPr="00E20BEF">
        <w:rPr>
          <w:rFonts w:asciiTheme="minorHAnsi" w:hAnsiTheme="minorHAnsi"/>
          <w:sz w:val="22"/>
          <w:szCs w:val="22"/>
        </w:rPr>
        <w:t xml:space="preserve"> mois à plusieurs année</w:t>
      </w:r>
      <w:r w:rsidR="00402CCC" w:rsidRPr="00E20BEF">
        <w:rPr>
          <w:rFonts w:asciiTheme="minorHAnsi" w:hAnsiTheme="minorHAnsi"/>
          <w:sz w:val="22"/>
          <w:szCs w:val="22"/>
        </w:rPr>
        <w:t>s</w:t>
      </w:r>
      <w:r w:rsidRPr="00E20BEF">
        <w:rPr>
          <w:rFonts w:asciiTheme="minorHAnsi" w:hAnsiTheme="minorHAnsi"/>
          <w:sz w:val="22"/>
          <w:szCs w:val="22"/>
        </w:rPr>
        <w:t xml:space="preserve"> </w:t>
      </w:r>
    </w:p>
    <w:p w:rsidR="00402CCC" w:rsidRPr="00E20BEF" w:rsidRDefault="00402CC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la post ménopause est la période de vie qui suit l’arrêt définitif des sécrétions et des ovulations </w:t>
      </w:r>
    </w:p>
    <w:p w:rsidR="00402CCC" w:rsidRPr="00194C09" w:rsidRDefault="00402CC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194C09">
        <w:rPr>
          <w:rFonts w:asciiTheme="minorHAnsi" w:hAnsiTheme="minorHAnsi"/>
          <w:sz w:val="22"/>
          <w:szCs w:val="22"/>
          <w:highlight w:val="yellow"/>
        </w:rPr>
        <w:t>ménopause précoce = survient avant 45ans</w:t>
      </w:r>
    </w:p>
    <w:p w:rsidR="00402CCC" w:rsidRPr="00194C09" w:rsidRDefault="00402CC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194C09">
        <w:rPr>
          <w:rFonts w:asciiTheme="minorHAnsi" w:hAnsiTheme="minorHAnsi"/>
          <w:sz w:val="22"/>
          <w:szCs w:val="22"/>
          <w:highlight w:val="yellow"/>
        </w:rPr>
        <w:t xml:space="preserve">ménopause tardive = survient après 55ans </w:t>
      </w:r>
    </w:p>
    <w:p w:rsidR="00402CCC" w:rsidRPr="00E20BEF" w:rsidRDefault="00402CCC" w:rsidP="00E20BE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2CCC" w:rsidRPr="00E20BEF" w:rsidRDefault="00402CCC" w:rsidP="00E20BE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20BEF">
        <w:rPr>
          <w:rFonts w:asciiTheme="minorHAnsi" w:hAnsiTheme="minorHAnsi"/>
          <w:b/>
          <w:color w:val="FF0000"/>
          <w:sz w:val="22"/>
          <w:szCs w:val="22"/>
        </w:rPr>
        <w:t>Physiologie</w:t>
      </w:r>
    </w:p>
    <w:p w:rsidR="00402CCC" w:rsidRPr="00E20BEF" w:rsidRDefault="00402CCC" w:rsidP="00E20BE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20BEF">
        <w:rPr>
          <w:rFonts w:asciiTheme="minorHAnsi" w:hAnsiTheme="minorHAnsi"/>
          <w:b/>
          <w:sz w:val="22"/>
          <w:szCs w:val="22"/>
        </w:rPr>
        <w:t>pré</w:t>
      </w:r>
      <w:r w:rsidR="00AC51BB">
        <w:rPr>
          <w:rFonts w:asciiTheme="minorHAnsi" w:hAnsiTheme="minorHAnsi"/>
          <w:b/>
          <w:sz w:val="22"/>
          <w:szCs w:val="22"/>
        </w:rPr>
        <w:t>-</w:t>
      </w:r>
      <w:r w:rsidRPr="00E20BEF">
        <w:rPr>
          <w:rFonts w:asciiTheme="minorHAnsi" w:hAnsiTheme="minorHAnsi"/>
          <w:b/>
          <w:sz w:val="22"/>
          <w:szCs w:val="22"/>
        </w:rPr>
        <w:t>ménopause</w:t>
      </w:r>
    </w:p>
    <w:p w:rsidR="00402CCC" w:rsidRPr="00E20BEF" w:rsidRDefault="00402CC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épuisement progressif du capital folliculaire ovarien vers l’âge de 40ans</w:t>
      </w:r>
    </w:p>
    <w:p w:rsidR="00402CCC" w:rsidRPr="00E20BEF" w:rsidRDefault="00402CC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diminution de la sensibilité ovarienne aux hormones gonadotropes =&gt; augmentation FSH ++ et LH =&gt; accélération de la phase folliculaire (cycle court) + trouble ovulatoire jusqu’à l’anovulation =&gt; </w:t>
      </w:r>
      <w:proofErr w:type="spellStart"/>
      <w:r w:rsidRPr="00E20BEF">
        <w:rPr>
          <w:rFonts w:asciiTheme="minorHAnsi" w:hAnsiTheme="minorHAnsi"/>
          <w:sz w:val="22"/>
          <w:szCs w:val="22"/>
          <w:highlight w:val="yellow"/>
        </w:rPr>
        <w:t>hyperœstrogénémie</w:t>
      </w:r>
      <w:proofErr w:type="spellEnd"/>
      <w:r w:rsidRPr="00E20BEF">
        <w:rPr>
          <w:rFonts w:asciiTheme="minorHAnsi" w:hAnsiTheme="minorHAnsi"/>
          <w:sz w:val="22"/>
          <w:szCs w:val="22"/>
          <w:highlight w:val="yellow"/>
        </w:rPr>
        <w:t xml:space="preserve"> + diminution des sécrétions de progestérone</w:t>
      </w:r>
      <w:r w:rsidRPr="00E20BEF">
        <w:rPr>
          <w:rFonts w:asciiTheme="minorHAnsi" w:hAnsiTheme="minorHAnsi"/>
          <w:sz w:val="22"/>
          <w:szCs w:val="22"/>
        </w:rPr>
        <w:t xml:space="preserve"> </w:t>
      </w:r>
    </w:p>
    <w:p w:rsidR="00402CCC" w:rsidRPr="00E20BEF" w:rsidRDefault="00402CCC" w:rsidP="00E20BE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2CCC" w:rsidRPr="00E20BEF" w:rsidRDefault="00402CCC" w:rsidP="00E20BE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20BEF">
        <w:rPr>
          <w:rFonts w:asciiTheme="minorHAnsi" w:hAnsiTheme="minorHAnsi"/>
          <w:b/>
          <w:sz w:val="22"/>
          <w:szCs w:val="22"/>
        </w:rPr>
        <w:t>post</w:t>
      </w:r>
      <w:r w:rsidR="00AC51BB">
        <w:rPr>
          <w:rFonts w:asciiTheme="minorHAnsi" w:hAnsiTheme="minorHAnsi"/>
          <w:b/>
          <w:sz w:val="22"/>
          <w:szCs w:val="22"/>
        </w:rPr>
        <w:t>-</w:t>
      </w:r>
      <w:r w:rsidRPr="00E20BEF">
        <w:rPr>
          <w:rFonts w:asciiTheme="minorHAnsi" w:hAnsiTheme="minorHAnsi"/>
          <w:b/>
          <w:sz w:val="22"/>
          <w:szCs w:val="22"/>
        </w:rPr>
        <w:t>ménopause :</w:t>
      </w:r>
    </w:p>
    <w:p w:rsidR="00402CCC" w:rsidRPr="00E20BEF" w:rsidRDefault="00402CC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extinction du capital folliculaire</w:t>
      </w:r>
    </w:p>
    <w:p w:rsidR="00402CCC" w:rsidRPr="00E20BEF" w:rsidRDefault="00402CC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4C09">
        <w:rPr>
          <w:rFonts w:asciiTheme="minorHAnsi" w:hAnsiTheme="minorHAnsi"/>
          <w:sz w:val="22"/>
          <w:szCs w:val="22"/>
          <w:highlight w:val="yellow"/>
        </w:rPr>
        <w:t>chute définitive de la production d’œstrogène</w:t>
      </w:r>
      <w:r w:rsidRPr="00E20BEF">
        <w:rPr>
          <w:rFonts w:asciiTheme="minorHAnsi" w:hAnsiTheme="minorHAnsi"/>
          <w:sz w:val="22"/>
          <w:szCs w:val="22"/>
        </w:rPr>
        <w:t xml:space="preserve"> avec augmentation des sécrétions de </w:t>
      </w:r>
      <w:r w:rsidR="00B079CA" w:rsidRPr="00E20BEF">
        <w:rPr>
          <w:rFonts w:asciiTheme="minorHAnsi" w:hAnsiTheme="minorHAnsi"/>
          <w:sz w:val="22"/>
          <w:szCs w:val="22"/>
        </w:rPr>
        <w:t>LH-</w:t>
      </w:r>
      <w:r w:rsidRPr="00E20BEF">
        <w:rPr>
          <w:rFonts w:asciiTheme="minorHAnsi" w:hAnsiTheme="minorHAnsi"/>
          <w:sz w:val="22"/>
          <w:szCs w:val="22"/>
        </w:rPr>
        <w:t>RH/LH/FSH</w:t>
      </w:r>
    </w:p>
    <w:p w:rsidR="00B079CA" w:rsidRPr="00E20BEF" w:rsidRDefault="00B079CA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petite production d’œstrone résultant de l’aromatisation des androgènes surrénaliens </w:t>
      </w:r>
    </w:p>
    <w:p w:rsidR="00402CCC" w:rsidRPr="00E20BEF" w:rsidRDefault="00402CCC" w:rsidP="00E20BE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D5709" w:rsidRPr="00E20BEF" w:rsidRDefault="00F6032C" w:rsidP="00E20BE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20BEF">
        <w:rPr>
          <w:rFonts w:asciiTheme="minorHAnsi" w:hAnsiTheme="minorHAnsi"/>
          <w:b/>
          <w:color w:val="FF0000"/>
          <w:sz w:val="22"/>
          <w:szCs w:val="22"/>
        </w:rPr>
        <w:t>Clinique</w:t>
      </w:r>
    </w:p>
    <w:p w:rsidR="00F6032C" w:rsidRPr="00E20BEF" w:rsidRDefault="00F6032C" w:rsidP="00E20BEF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proofErr w:type="spellStart"/>
      <w:r w:rsidRPr="00E20BEF">
        <w:rPr>
          <w:rFonts w:asciiTheme="minorHAnsi" w:hAnsiTheme="minorHAnsi"/>
          <w:b/>
          <w:color w:val="333399"/>
          <w:sz w:val="22"/>
          <w:szCs w:val="22"/>
        </w:rPr>
        <w:t>préménopause</w:t>
      </w:r>
      <w:proofErr w:type="spellEnd"/>
      <w:r w:rsidRPr="00E20BEF">
        <w:rPr>
          <w:rFonts w:asciiTheme="minorHAnsi" w:hAnsiTheme="minorHAnsi"/>
          <w:b/>
          <w:color w:val="333399"/>
          <w:sz w:val="22"/>
          <w:szCs w:val="22"/>
        </w:rPr>
        <w:t xml:space="preserve"> (</w:t>
      </w:r>
      <w:proofErr w:type="spellStart"/>
      <w:r w:rsidRPr="00E20BEF">
        <w:rPr>
          <w:rFonts w:asciiTheme="minorHAnsi" w:hAnsiTheme="minorHAnsi"/>
          <w:b/>
          <w:color w:val="333399"/>
          <w:sz w:val="22"/>
          <w:szCs w:val="22"/>
        </w:rPr>
        <w:t>hyperœstrogenémie</w:t>
      </w:r>
      <w:proofErr w:type="spellEnd"/>
      <w:r w:rsidRPr="00E20BEF">
        <w:rPr>
          <w:rFonts w:asciiTheme="minorHAnsi" w:hAnsiTheme="minorHAnsi"/>
          <w:b/>
          <w:color w:val="333399"/>
          <w:sz w:val="22"/>
          <w:szCs w:val="22"/>
        </w:rPr>
        <w:t>)</w:t>
      </w:r>
    </w:p>
    <w:p w:rsidR="00815766" w:rsidRPr="00E20BEF" w:rsidRDefault="00815766" w:rsidP="00E20BE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6032C" w:rsidRPr="00E20BEF" w:rsidRDefault="00F6032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cycle irrégulier (spanioménorrhée ou cycle court)</w:t>
      </w:r>
    </w:p>
    <w:p w:rsidR="00F6032C" w:rsidRPr="00E20BEF" w:rsidRDefault="00F6032C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ménorragie ou métrorragie (hyperplasie </w:t>
      </w:r>
      <w:proofErr w:type="spellStart"/>
      <w:r w:rsidRPr="00E20BEF">
        <w:rPr>
          <w:rFonts w:asciiTheme="minorHAnsi" w:hAnsiTheme="minorHAnsi"/>
          <w:sz w:val="22"/>
          <w:szCs w:val="22"/>
        </w:rPr>
        <w:t>endométriale</w:t>
      </w:r>
      <w:proofErr w:type="spellEnd"/>
      <w:r w:rsidRPr="00E20BEF">
        <w:rPr>
          <w:rFonts w:asciiTheme="minorHAnsi" w:hAnsiTheme="minorHAnsi"/>
          <w:sz w:val="22"/>
          <w:szCs w:val="22"/>
        </w:rPr>
        <w:t xml:space="preserve"> bénigne)  </w:t>
      </w:r>
    </w:p>
    <w:p w:rsidR="00F6032C" w:rsidRPr="00E20BEF" w:rsidRDefault="00F6032C" w:rsidP="00E20BEF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20BEF">
        <w:rPr>
          <w:rFonts w:asciiTheme="minorHAnsi" w:hAnsiTheme="minorHAnsi"/>
          <w:b/>
          <w:sz w:val="22"/>
          <w:szCs w:val="22"/>
        </w:rPr>
        <w:t>Sd prémenstruel :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prise de poids, OMI parfois 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gonflement de l’abdomen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irritabilité, anxiété, insomnie, céphalée </w:t>
      </w:r>
    </w:p>
    <w:p w:rsidR="00F6032C" w:rsidRPr="00E20BEF" w:rsidRDefault="00F6032C" w:rsidP="00E20BEF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20BEF">
        <w:rPr>
          <w:rFonts w:asciiTheme="minorHAnsi" w:hAnsiTheme="minorHAnsi"/>
          <w:b/>
          <w:sz w:val="22"/>
          <w:szCs w:val="22"/>
        </w:rPr>
        <w:t>Modifications utérines :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hyperplasie </w:t>
      </w:r>
      <w:proofErr w:type="spellStart"/>
      <w:r w:rsidRPr="00E20BEF">
        <w:rPr>
          <w:rFonts w:asciiTheme="minorHAnsi" w:hAnsiTheme="minorHAnsi"/>
          <w:sz w:val="22"/>
          <w:szCs w:val="22"/>
        </w:rPr>
        <w:t>endomètriale</w:t>
      </w:r>
      <w:proofErr w:type="spellEnd"/>
      <w:r w:rsidRPr="00E20BEF">
        <w:rPr>
          <w:rFonts w:asciiTheme="minorHAnsi" w:hAnsiTheme="minorHAnsi"/>
          <w:sz w:val="22"/>
          <w:szCs w:val="22"/>
        </w:rPr>
        <w:t xml:space="preserve"> bénigne 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fibrome utérin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cancer de l’endomètre</w:t>
      </w:r>
    </w:p>
    <w:p w:rsidR="00F6032C" w:rsidRPr="00E20BEF" w:rsidRDefault="00F6032C" w:rsidP="00E20BEF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20BEF">
        <w:rPr>
          <w:rFonts w:asciiTheme="minorHAnsi" w:hAnsiTheme="minorHAnsi"/>
          <w:b/>
          <w:sz w:val="22"/>
          <w:szCs w:val="22"/>
        </w:rPr>
        <w:t>Modifications mammaires :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20BEF">
        <w:rPr>
          <w:rFonts w:asciiTheme="minorHAnsi" w:hAnsiTheme="minorHAnsi"/>
          <w:sz w:val="22"/>
          <w:szCs w:val="22"/>
        </w:rPr>
        <w:t>mastodynie</w:t>
      </w:r>
      <w:proofErr w:type="spellEnd"/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métaplasie bénignes (dystrophie macro ou </w:t>
      </w:r>
      <w:proofErr w:type="spellStart"/>
      <w:r w:rsidRPr="00E20BEF">
        <w:rPr>
          <w:rFonts w:asciiTheme="minorHAnsi" w:hAnsiTheme="minorHAnsi"/>
          <w:sz w:val="22"/>
          <w:szCs w:val="22"/>
        </w:rPr>
        <w:t>microkystique</w:t>
      </w:r>
      <w:proofErr w:type="spellEnd"/>
      <w:r w:rsidRPr="00E20BEF">
        <w:rPr>
          <w:rFonts w:asciiTheme="minorHAnsi" w:hAnsiTheme="minorHAnsi"/>
          <w:sz w:val="22"/>
          <w:szCs w:val="22"/>
        </w:rPr>
        <w:t>)</w:t>
      </w:r>
    </w:p>
    <w:p w:rsidR="00F6032C" w:rsidRPr="00E20BEF" w:rsidRDefault="00F6032C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cancer du sein</w:t>
      </w:r>
    </w:p>
    <w:p w:rsidR="00F6032C" w:rsidRPr="00E20BEF" w:rsidRDefault="00F6032C" w:rsidP="00E20BE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 </w:t>
      </w:r>
    </w:p>
    <w:p w:rsidR="00F6032C" w:rsidRPr="00E20BEF" w:rsidRDefault="00F6032C" w:rsidP="00E20BEF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E20BEF">
        <w:rPr>
          <w:rFonts w:asciiTheme="minorHAnsi" w:hAnsiTheme="minorHAnsi"/>
          <w:b/>
          <w:color w:val="333399"/>
          <w:sz w:val="22"/>
          <w:szCs w:val="22"/>
        </w:rPr>
        <w:t xml:space="preserve">ménopause </w:t>
      </w:r>
    </w:p>
    <w:p w:rsidR="00815766" w:rsidRPr="00E20BEF" w:rsidRDefault="00815766" w:rsidP="00E20BE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15766" w:rsidRPr="00E20BEF" w:rsidRDefault="00815766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aménorrhée secondaire définitive ne répondant pas au TRT progestatif</w:t>
      </w:r>
    </w:p>
    <w:p w:rsidR="00815766" w:rsidRPr="00E20BEF" w:rsidRDefault="00815766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4C09">
        <w:rPr>
          <w:rFonts w:asciiTheme="minorHAnsi" w:hAnsiTheme="minorHAnsi"/>
          <w:sz w:val="22"/>
          <w:szCs w:val="22"/>
          <w:highlight w:val="yellow"/>
        </w:rPr>
        <w:t>bouffés de chaleur</w:t>
      </w:r>
      <w:r w:rsidRPr="00E20BEF">
        <w:rPr>
          <w:rFonts w:asciiTheme="minorHAnsi" w:hAnsiTheme="minorHAnsi"/>
          <w:sz w:val="22"/>
          <w:szCs w:val="22"/>
        </w:rPr>
        <w:t xml:space="preserve"> (70%des patientes) essentiellement noctur</w:t>
      </w:r>
      <w:r w:rsidR="00194C09">
        <w:rPr>
          <w:rFonts w:asciiTheme="minorHAnsi" w:hAnsiTheme="minorHAnsi"/>
          <w:sz w:val="22"/>
          <w:szCs w:val="22"/>
        </w:rPr>
        <w:t>n</w:t>
      </w:r>
      <w:r w:rsidRPr="00E20BEF">
        <w:rPr>
          <w:rFonts w:asciiTheme="minorHAnsi" w:hAnsiTheme="minorHAnsi"/>
          <w:sz w:val="22"/>
          <w:szCs w:val="22"/>
        </w:rPr>
        <w:t xml:space="preserve">e avec rougeur de la face et sueur contribuant à la perturbation du sommeil </w:t>
      </w:r>
    </w:p>
    <w:p w:rsidR="00815766" w:rsidRPr="00E20BEF" w:rsidRDefault="00815766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4C09">
        <w:rPr>
          <w:rFonts w:asciiTheme="minorHAnsi" w:hAnsiTheme="minorHAnsi"/>
          <w:sz w:val="22"/>
          <w:szCs w:val="22"/>
          <w:highlight w:val="yellow"/>
        </w:rPr>
        <w:t>troubles neuropsychiques</w:t>
      </w:r>
      <w:r w:rsidRPr="00E20BEF">
        <w:rPr>
          <w:rFonts w:asciiTheme="minorHAnsi" w:hAnsiTheme="minorHAnsi"/>
          <w:sz w:val="22"/>
          <w:szCs w:val="22"/>
        </w:rPr>
        <w:t> : irritabilité, dépression, anxiété, asthénie, insomnie, tristesse</w:t>
      </w:r>
    </w:p>
    <w:p w:rsidR="00815766" w:rsidRPr="00E20BEF" w:rsidRDefault="00815766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4C09">
        <w:rPr>
          <w:rFonts w:asciiTheme="minorHAnsi" w:hAnsiTheme="minorHAnsi"/>
          <w:sz w:val="22"/>
          <w:szCs w:val="22"/>
          <w:highlight w:val="yellow"/>
        </w:rPr>
        <w:t>troubles sexuels</w:t>
      </w:r>
      <w:r w:rsidRPr="00E20BEF">
        <w:rPr>
          <w:rFonts w:asciiTheme="minorHAnsi" w:hAnsiTheme="minorHAnsi"/>
          <w:sz w:val="22"/>
          <w:szCs w:val="22"/>
        </w:rPr>
        <w:t xml:space="preserve"> : pertes de la libido, dyspareunie, </w:t>
      </w:r>
      <w:r w:rsidR="00A50D55" w:rsidRPr="00E20BEF">
        <w:rPr>
          <w:rFonts w:asciiTheme="minorHAnsi" w:hAnsiTheme="minorHAnsi"/>
          <w:sz w:val="22"/>
          <w:szCs w:val="22"/>
        </w:rPr>
        <w:t>sécheresse</w:t>
      </w:r>
      <w:r w:rsidRPr="00E20BEF">
        <w:rPr>
          <w:rFonts w:asciiTheme="minorHAnsi" w:hAnsiTheme="minorHAnsi"/>
          <w:sz w:val="22"/>
          <w:szCs w:val="22"/>
        </w:rPr>
        <w:t xml:space="preserve"> vulvo-vaginal </w:t>
      </w:r>
    </w:p>
    <w:p w:rsidR="00A50D55" w:rsidRPr="00E20BEF" w:rsidRDefault="00A50D55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atrophie des OGE, atrophie et déshydratation cutanée, vieillissement du visage</w:t>
      </w:r>
    </w:p>
    <w:p w:rsidR="00815766" w:rsidRPr="00E20BEF" w:rsidRDefault="00815766" w:rsidP="00E20BE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15766" w:rsidRPr="00E20BEF" w:rsidRDefault="00815766" w:rsidP="00E20BE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20BEF"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Prise en charge : </w:t>
      </w:r>
    </w:p>
    <w:p w:rsidR="00815766" w:rsidRPr="00E20BEF" w:rsidRDefault="00815766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examen général</w:t>
      </w:r>
    </w:p>
    <w:p w:rsidR="00815766" w:rsidRPr="00E20BEF" w:rsidRDefault="00815766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examen des seins (mammographie), FCV de dépistage tous les 12mois </w:t>
      </w:r>
    </w:p>
    <w:p w:rsidR="00815766" w:rsidRPr="00E20BEF" w:rsidRDefault="00815766" w:rsidP="00E20B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biologique : bilan lipidique, glycémie à jeun tous les 6mois </w:t>
      </w:r>
    </w:p>
    <w:p w:rsidR="00815766" w:rsidRPr="00E20BEF" w:rsidRDefault="00815766" w:rsidP="00E20BEF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b/>
          <w:sz w:val="22"/>
          <w:szCs w:val="22"/>
        </w:rPr>
        <w:t>traitement</w:t>
      </w:r>
      <w:r w:rsidR="00A50D55" w:rsidRPr="00E20BEF">
        <w:rPr>
          <w:rFonts w:asciiTheme="minorHAnsi" w:hAnsiTheme="minorHAnsi"/>
          <w:b/>
          <w:sz w:val="22"/>
          <w:szCs w:val="22"/>
        </w:rPr>
        <w:t xml:space="preserve"> hormonal</w:t>
      </w:r>
      <w:r w:rsidRPr="00E20BEF">
        <w:rPr>
          <w:rFonts w:asciiTheme="minorHAnsi" w:hAnsiTheme="minorHAnsi"/>
          <w:b/>
          <w:sz w:val="22"/>
          <w:szCs w:val="22"/>
        </w:rPr>
        <w:t xml:space="preserve"> substitutif</w:t>
      </w:r>
      <w:r w:rsidR="00A50D55" w:rsidRPr="00E20BEF">
        <w:rPr>
          <w:rFonts w:asciiTheme="minorHAnsi" w:hAnsiTheme="minorHAnsi"/>
          <w:sz w:val="22"/>
          <w:szCs w:val="22"/>
        </w:rPr>
        <w:t xml:space="preserve"> : </w:t>
      </w:r>
      <w:r w:rsidR="00A50D55" w:rsidRPr="00A523A7">
        <w:rPr>
          <w:rFonts w:asciiTheme="minorHAnsi" w:hAnsiTheme="minorHAnsi"/>
          <w:sz w:val="22"/>
          <w:szCs w:val="22"/>
          <w:highlight w:val="yellow"/>
        </w:rPr>
        <w:t>œstrogène + progestérone normo-dosé</w:t>
      </w:r>
      <w:r w:rsidR="00A50D55" w:rsidRPr="00E20BEF">
        <w:rPr>
          <w:rFonts w:asciiTheme="minorHAnsi" w:hAnsiTheme="minorHAnsi"/>
          <w:sz w:val="22"/>
          <w:szCs w:val="22"/>
        </w:rPr>
        <w:t xml:space="preserve"> (traitement séquentiel) =&gt; provocation de règle artificielle (chez la ménopause précoce ou femme souhaitant conservé ses règles)</w:t>
      </w:r>
    </w:p>
    <w:p w:rsidR="00A50D55" w:rsidRPr="00E20BEF" w:rsidRDefault="00A50D55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>surveillance du sous dosage (persistance des signes), surdosage (métrorragie abondantes)</w:t>
      </w:r>
    </w:p>
    <w:p w:rsidR="00A50D55" w:rsidRDefault="00A50D55" w:rsidP="00E20BE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sz w:val="22"/>
          <w:szCs w:val="22"/>
        </w:rPr>
        <w:t xml:space="preserve">surveillance clinique et paraclinique des paramètres sus cités </w:t>
      </w:r>
    </w:p>
    <w:p w:rsidR="00194C09" w:rsidRPr="00A523A7" w:rsidRDefault="00194C09" w:rsidP="00194C09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proofErr w:type="spellStart"/>
      <w:r w:rsidRPr="00A523A7">
        <w:rPr>
          <w:rFonts w:asciiTheme="minorHAnsi" w:hAnsiTheme="minorHAnsi"/>
          <w:sz w:val="22"/>
          <w:szCs w:val="22"/>
          <w:highlight w:val="yellow"/>
        </w:rPr>
        <w:t>microdosés</w:t>
      </w:r>
      <w:proofErr w:type="spellEnd"/>
      <w:r w:rsidRPr="00A523A7">
        <w:rPr>
          <w:rFonts w:asciiTheme="minorHAnsi" w:hAnsiTheme="minorHAnsi"/>
          <w:sz w:val="22"/>
          <w:szCs w:val="22"/>
          <w:highlight w:val="yellow"/>
        </w:rPr>
        <w:t xml:space="preserve"> : sans règles </w:t>
      </w:r>
    </w:p>
    <w:p w:rsidR="00A50D55" w:rsidRPr="00E20BEF" w:rsidRDefault="00A50D55" w:rsidP="00E20BE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50D55" w:rsidRPr="00E20BEF" w:rsidRDefault="00A50D55" w:rsidP="00E20BEF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EF">
        <w:rPr>
          <w:rFonts w:asciiTheme="minorHAnsi" w:hAnsiTheme="minorHAnsi"/>
          <w:b/>
          <w:sz w:val="22"/>
          <w:szCs w:val="22"/>
        </w:rPr>
        <w:t>traitement non substitutif</w:t>
      </w:r>
      <w:r w:rsidRPr="00E20BEF">
        <w:rPr>
          <w:rFonts w:asciiTheme="minorHAnsi" w:hAnsiTheme="minorHAnsi"/>
          <w:sz w:val="22"/>
          <w:szCs w:val="22"/>
        </w:rPr>
        <w:t> : barbituriques non hypnogène (</w:t>
      </w:r>
      <w:proofErr w:type="spellStart"/>
      <w:r w:rsidRPr="00E20BEF">
        <w:rPr>
          <w:rFonts w:asciiTheme="minorHAnsi" w:hAnsiTheme="minorHAnsi"/>
          <w:sz w:val="22"/>
          <w:szCs w:val="22"/>
        </w:rPr>
        <w:t>equanil</w:t>
      </w:r>
      <w:proofErr w:type="spellEnd"/>
      <w:r w:rsidRPr="00E20BEF">
        <w:rPr>
          <w:rFonts w:asciiTheme="minorHAnsi" w:hAnsiTheme="minorHAnsi"/>
          <w:sz w:val="22"/>
          <w:szCs w:val="22"/>
        </w:rPr>
        <w:t>), neuroleptiques (</w:t>
      </w:r>
      <w:proofErr w:type="spellStart"/>
      <w:r w:rsidRPr="00E20BEF">
        <w:rPr>
          <w:rFonts w:asciiTheme="minorHAnsi" w:hAnsiTheme="minorHAnsi"/>
          <w:sz w:val="22"/>
          <w:szCs w:val="22"/>
        </w:rPr>
        <w:t>dogmatil</w:t>
      </w:r>
      <w:proofErr w:type="spellEnd"/>
      <w:r w:rsidRPr="00E20BEF">
        <w:rPr>
          <w:rFonts w:asciiTheme="minorHAnsi" w:hAnsiTheme="minorHAnsi"/>
          <w:sz w:val="22"/>
          <w:szCs w:val="22"/>
        </w:rPr>
        <w:t>) =&gt; traitement des manifestations neurovégétative (bouffés de chaleur…)</w:t>
      </w:r>
    </w:p>
    <w:p w:rsidR="00A50D55" w:rsidRPr="00E20BEF" w:rsidRDefault="00A50D55" w:rsidP="00E20BE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A50D55" w:rsidRPr="00E20BEF" w:rsidSect="00A50D55">
      <w:pgSz w:w="11906" w:h="16838"/>
      <w:pgMar w:top="899" w:right="746" w:bottom="89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40E8E"/>
    <w:multiLevelType w:val="hybridMultilevel"/>
    <w:tmpl w:val="129C56A6"/>
    <w:lvl w:ilvl="0" w:tplc="41B04B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8F052B"/>
    <w:multiLevelType w:val="hybridMultilevel"/>
    <w:tmpl w:val="B8AAFD0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3F4D50"/>
    <w:multiLevelType w:val="hybridMultilevel"/>
    <w:tmpl w:val="98B848F6"/>
    <w:lvl w:ilvl="0" w:tplc="040C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395E0C09"/>
    <w:multiLevelType w:val="hybridMultilevel"/>
    <w:tmpl w:val="F20EB246"/>
    <w:lvl w:ilvl="0" w:tplc="54465B0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4241C2"/>
    <w:multiLevelType w:val="hybridMultilevel"/>
    <w:tmpl w:val="33989550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DA14D69"/>
    <w:multiLevelType w:val="hybridMultilevel"/>
    <w:tmpl w:val="5038CFE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4A6D07"/>
    <w:multiLevelType w:val="hybridMultilevel"/>
    <w:tmpl w:val="1B5A8A2E"/>
    <w:lvl w:ilvl="0" w:tplc="335A498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hyphenationZone w:val="425"/>
  <w:characterSpacingControl w:val="doNotCompress"/>
  <w:compat/>
  <w:rsids>
    <w:rsidRoot w:val="007D5709"/>
    <w:rsid w:val="00055BCF"/>
    <w:rsid w:val="00172925"/>
    <w:rsid w:val="00194C09"/>
    <w:rsid w:val="00402CCC"/>
    <w:rsid w:val="007D5709"/>
    <w:rsid w:val="00815766"/>
    <w:rsid w:val="00A50D55"/>
    <w:rsid w:val="00A523A7"/>
    <w:rsid w:val="00AC51BB"/>
    <w:rsid w:val="00AD4620"/>
    <w:rsid w:val="00B079CA"/>
    <w:rsid w:val="00C46254"/>
    <w:rsid w:val="00E20BEF"/>
    <w:rsid w:val="00F6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625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94C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 ménopause </vt:lpstr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ménopause</dc:title>
  <dc:creator>megh</dc:creator>
  <cp:lastModifiedBy>Lebane</cp:lastModifiedBy>
  <cp:revision>6</cp:revision>
  <dcterms:created xsi:type="dcterms:W3CDTF">2010-03-24T20:48:00Z</dcterms:created>
  <dcterms:modified xsi:type="dcterms:W3CDTF">2010-03-29T12:52:00Z</dcterms:modified>
</cp:coreProperties>
</file>