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F21" w:rsidRPr="00C35323" w:rsidRDefault="00C35323" w:rsidP="004F036B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C35323">
        <w:rPr>
          <w:b/>
          <w:bCs/>
          <w:sz w:val="28"/>
          <w:szCs w:val="28"/>
          <w:u w:val="single"/>
        </w:rPr>
        <w:t xml:space="preserve">1. </w:t>
      </w:r>
      <w:r w:rsidR="004F036B" w:rsidRPr="00C35323">
        <w:rPr>
          <w:b/>
          <w:bCs/>
          <w:sz w:val="28"/>
          <w:szCs w:val="28"/>
          <w:u w:val="single"/>
        </w:rPr>
        <w:t>Infections anténatales</w:t>
      </w:r>
      <w:r w:rsidRPr="00C35323">
        <w:rPr>
          <w:b/>
          <w:bCs/>
          <w:sz w:val="28"/>
          <w:szCs w:val="28"/>
          <w:u w:val="single"/>
        </w:rPr>
        <w:t> :</w:t>
      </w:r>
    </w:p>
    <w:p w:rsidR="00410C6A" w:rsidRPr="005C53D7" w:rsidRDefault="005C53D7" w:rsidP="00410C6A">
      <w:pPr>
        <w:spacing w:after="0" w:line="360" w:lineRule="auto"/>
      </w:pPr>
      <w:r>
        <w:t>- Cours de gynéco</w:t>
      </w:r>
    </w:p>
    <w:p w:rsidR="004F036B" w:rsidRPr="00C35323" w:rsidRDefault="00C35323" w:rsidP="004F036B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2. </w:t>
      </w:r>
      <w:r w:rsidR="004F036B" w:rsidRPr="00C35323">
        <w:rPr>
          <w:b/>
          <w:bCs/>
          <w:sz w:val="28"/>
          <w:szCs w:val="28"/>
          <w:u w:val="single"/>
        </w:rPr>
        <w:t>Infections materno-fœtales</w:t>
      </w:r>
      <w:r w:rsidR="00410C6A" w:rsidRPr="00C35323">
        <w:rPr>
          <w:b/>
          <w:bCs/>
          <w:sz w:val="28"/>
          <w:szCs w:val="28"/>
          <w:u w:val="single"/>
        </w:rPr>
        <w:t> :</w:t>
      </w:r>
    </w:p>
    <w:p w:rsidR="0070301B" w:rsidRDefault="0070301B" w:rsidP="0070301B">
      <w:pPr>
        <w:spacing w:after="0" w:line="360" w:lineRule="auto"/>
      </w:pPr>
      <w:r w:rsidRPr="00090EEC">
        <w:rPr>
          <w:highlight w:val="yellow"/>
        </w:rPr>
        <w:t>Entre 0 et 4</w:t>
      </w:r>
      <w:r w:rsidRPr="00090EEC">
        <w:rPr>
          <w:highlight w:val="yellow"/>
          <w:vertAlign w:val="superscript"/>
        </w:rPr>
        <w:t>ème</w:t>
      </w:r>
      <w:r w:rsidRPr="00090EEC">
        <w:rPr>
          <w:highlight w:val="yellow"/>
        </w:rPr>
        <w:t xml:space="preserve"> jour</w:t>
      </w:r>
      <w:r w:rsidR="00C35323" w:rsidRPr="00090EEC">
        <w:rPr>
          <w:highlight w:val="yellow"/>
        </w:rPr>
        <w:t xml:space="preserve"> +++++</w:t>
      </w:r>
    </w:p>
    <w:p w:rsidR="004F036B" w:rsidRPr="00C35323" w:rsidRDefault="004F036B" w:rsidP="004F036B">
      <w:pPr>
        <w:spacing w:after="0" w:line="360" w:lineRule="auto"/>
        <w:rPr>
          <w:b/>
          <w:bCs/>
          <w:u w:val="single"/>
        </w:rPr>
      </w:pPr>
      <w:r w:rsidRPr="00C35323">
        <w:rPr>
          <w:b/>
          <w:bCs/>
          <w:u w:val="single"/>
        </w:rPr>
        <w:t>Modes de contamination</w:t>
      </w:r>
      <w:r w:rsidR="00410C6A" w:rsidRPr="00C35323">
        <w:rPr>
          <w:b/>
          <w:bCs/>
          <w:u w:val="single"/>
        </w:rPr>
        <w:t> :</w:t>
      </w:r>
    </w:p>
    <w:p w:rsidR="00410C6A" w:rsidRDefault="00C35323" w:rsidP="004F036B">
      <w:pPr>
        <w:spacing w:after="0" w:line="360" w:lineRule="auto"/>
      </w:pPr>
      <w:r>
        <w:t xml:space="preserve">- </w:t>
      </w:r>
      <w:r w:rsidR="00410C6A">
        <w:t>Hématogène transplacentaire</w:t>
      </w:r>
    </w:p>
    <w:p w:rsidR="00410C6A" w:rsidRDefault="00C35323" w:rsidP="004F036B">
      <w:pPr>
        <w:spacing w:after="0" w:line="360" w:lineRule="auto"/>
      </w:pPr>
      <w:r>
        <w:t xml:space="preserve">- </w:t>
      </w:r>
      <w:r w:rsidR="00410C6A">
        <w:t>Voie ascendante</w:t>
      </w:r>
    </w:p>
    <w:p w:rsidR="00410C6A" w:rsidRDefault="00C35323" w:rsidP="004F036B">
      <w:pPr>
        <w:spacing w:after="0" w:line="360" w:lineRule="auto"/>
      </w:pPr>
      <w:r>
        <w:t xml:space="preserve">- </w:t>
      </w:r>
      <w:r w:rsidR="00410C6A">
        <w:t>Au passage de la filière génitale</w:t>
      </w:r>
    </w:p>
    <w:p w:rsidR="004F036B" w:rsidRPr="00C35323" w:rsidRDefault="004F036B" w:rsidP="004F036B">
      <w:pPr>
        <w:spacing w:after="0" w:line="360" w:lineRule="auto"/>
        <w:rPr>
          <w:b/>
          <w:bCs/>
          <w:u w:val="single"/>
        </w:rPr>
      </w:pPr>
      <w:r w:rsidRPr="00C35323">
        <w:rPr>
          <w:b/>
          <w:bCs/>
          <w:u w:val="single"/>
        </w:rPr>
        <w:t>Germes</w:t>
      </w:r>
      <w:r w:rsidR="00410C6A" w:rsidRPr="00C35323">
        <w:rPr>
          <w:b/>
          <w:bCs/>
          <w:u w:val="single"/>
        </w:rPr>
        <w:t> :</w:t>
      </w:r>
    </w:p>
    <w:p w:rsidR="00410C6A" w:rsidRDefault="00C35323" w:rsidP="004F036B">
      <w:pPr>
        <w:spacing w:after="0" w:line="360" w:lineRule="auto"/>
      </w:pPr>
      <w:r>
        <w:t xml:space="preserve">- </w:t>
      </w:r>
      <w:r w:rsidR="00410C6A">
        <w:t>Streptocoque B +++</w:t>
      </w:r>
    </w:p>
    <w:p w:rsidR="00410C6A" w:rsidRDefault="00C35323" w:rsidP="004F036B">
      <w:pPr>
        <w:spacing w:after="0" w:line="360" w:lineRule="auto"/>
      </w:pPr>
      <w:r>
        <w:t xml:space="preserve">- </w:t>
      </w:r>
      <w:r w:rsidR="00954A3A">
        <w:t>E. coli</w:t>
      </w:r>
    </w:p>
    <w:p w:rsidR="00410C6A" w:rsidRDefault="00C35323" w:rsidP="00410C6A">
      <w:pPr>
        <w:spacing w:after="0" w:line="360" w:lineRule="auto"/>
      </w:pPr>
      <w:r>
        <w:t xml:space="preserve">- </w:t>
      </w:r>
      <w:r w:rsidR="00410C6A">
        <w:t>Listeria</w:t>
      </w:r>
    </w:p>
    <w:p w:rsidR="004F036B" w:rsidRPr="00C35323" w:rsidRDefault="004F036B" w:rsidP="004F036B">
      <w:pPr>
        <w:spacing w:after="0" w:line="360" w:lineRule="auto"/>
        <w:rPr>
          <w:b/>
          <w:bCs/>
          <w:u w:val="single"/>
        </w:rPr>
      </w:pPr>
      <w:r w:rsidRPr="00C35323">
        <w:rPr>
          <w:b/>
          <w:bCs/>
          <w:u w:val="single"/>
        </w:rPr>
        <w:t>Facteurs de risques</w:t>
      </w:r>
      <w:r w:rsidR="00410C6A" w:rsidRPr="00C35323">
        <w:rPr>
          <w:b/>
          <w:bCs/>
          <w:u w:val="single"/>
        </w:rPr>
        <w:t> :</w:t>
      </w:r>
    </w:p>
    <w:p w:rsidR="00410C6A" w:rsidRDefault="00C35323" w:rsidP="00981EF3">
      <w:pPr>
        <w:spacing w:after="0" w:line="360" w:lineRule="auto"/>
      </w:pPr>
      <w:r>
        <w:t xml:space="preserve">- </w:t>
      </w:r>
      <w:r w:rsidR="00410C6A">
        <w:t>Infection vaginale ou urinaire</w:t>
      </w:r>
      <w:r w:rsidR="00981EF3">
        <w:t xml:space="preserve">                            - LA purée de pois</w:t>
      </w:r>
    </w:p>
    <w:p w:rsidR="00410C6A" w:rsidRDefault="00C35323" w:rsidP="00981EF3">
      <w:pPr>
        <w:spacing w:after="0" w:line="360" w:lineRule="auto"/>
      </w:pPr>
      <w:r>
        <w:t xml:space="preserve">- </w:t>
      </w:r>
      <w:r w:rsidR="00410C6A">
        <w:t>Fièvre avant l’accouchement</w:t>
      </w:r>
      <w:r w:rsidR="00981EF3">
        <w:t xml:space="preserve">                             - Travail long</w:t>
      </w:r>
    </w:p>
    <w:p w:rsidR="00C35323" w:rsidRDefault="00C35323" w:rsidP="00981EF3">
      <w:pPr>
        <w:spacing w:after="0" w:line="360" w:lineRule="auto"/>
      </w:pPr>
      <w:r>
        <w:t>- Prématurité</w:t>
      </w:r>
      <w:r w:rsidR="00981EF3">
        <w:t xml:space="preserve">                                                           - SFA</w:t>
      </w:r>
    </w:p>
    <w:p w:rsidR="00954A3A" w:rsidRDefault="00C35323" w:rsidP="00981EF3">
      <w:pPr>
        <w:spacing w:after="0" w:line="360" w:lineRule="auto"/>
      </w:pPr>
      <w:r>
        <w:t xml:space="preserve">- </w:t>
      </w:r>
      <w:r w:rsidR="00410C6A">
        <w:t>RPM</w:t>
      </w:r>
      <w:r w:rsidR="00981EF3">
        <w:t xml:space="preserve">                                                                        </w:t>
      </w:r>
      <w:r>
        <w:t xml:space="preserve">- </w:t>
      </w:r>
      <w:r w:rsidR="00954A3A">
        <w:t>Manœuvres instrumentales</w:t>
      </w:r>
    </w:p>
    <w:p w:rsidR="0070301B" w:rsidRDefault="0070301B" w:rsidP="00954A3A">
      <w:pPr>
        <w:spacing w:after="0" w:line="360" w:lineRule="auto"/>
      </w:pPr>
      <w:r w:rsidRPr="00090EEC">
        <w:rPr>
          <w:highlight w:val="yellow"/>
        </w:rPr>
        <w:t>La multiparité n’est pas un facteur de risque +++++++</w:t>
      </w:r>
    </w:p>
    <w:p w:rsidR="004F036B" w:rsidRPr="00C35323" w:rsidRDefault="004F036B" w:rsidP="004F036B">
      <w:pPr>
        <w:spacing w:after="0" w:line="360" w:lineRule="auto"/>
        <w:rPr>
          <w:b/>
          <w:bCs/>
          <w:u w:val="single"/>
        </w:rPr>
      </w:pPr>
      <w:r w:rsidRPr="00C35323">
        <w:rPr>
          <w:b/>
          <w:bCs/>
          <w:u w:val="single"/>
        </w:rPr>
        <w:t>Clinique</w:t>
      </w:r>
      <w:r w:rsidR="00954A3A" w:rsidRPr="00C35323">
        <w:rPr>
          <w:b/>
          <w:bCs/>
          <w:u w:val="single"/>
        </w:rPr>
        <w:t> :</w:t>
      </w:r>
    </w:p>
    <w:p w:rsidR="00954A3A" w:rsidRDefault="00954A3A" w:rsidP="004F036B">
      <w:pPr>
        <w:spacing w:after="0" w:line="360" w:lineRule="auto"/>
      </w:pPr>
      <w:r>
        <w:t>Hyperthermie, mais surtout hypothermie</w:t>
      </w:r>
    </w:p>
    <w:p w:rsidR="00954A3A" w:rsidRDefault="00954A3A" w:rsidP="004F036B">
      <w:pPr>
        <w:spacing w:after="0" w:line="360" w:lineRule="auto"/>
      </w:pPr>
      <w:r>
        <w:t>Scléreme</w:t>
      </w:r>
      <w:r w:rsidR="00ED436C">
        <w:t xml:space="preserve"> : </w:t>
      </w:r>
      <w:r w:rsidR="00ED436C" w:rsidRPr="006F0633">
        <w:rPr>
          <w:highlight w:val="yellow"/>
        </w:rPr>
        <w:t>induration généralisée de la peau</w:t>
      </w:r>
      <w:r w:rsidR="00ED436C">
        <w:t xml:space="preserve"> </w:t>
      </w:r>
      <w:r>
        <w:sym w:font="Wingdings" w:char="F0E0"/>
      </w:r>
      <w:r>
        <w:t xml:space="preserve"> Tableau sévère +++++ </w:t>
      </w:r>
    </w:p>
    <w:p w:rsidR="004F036B" w:rsidRPr="00C35323" w:rsidRDefault="004F036B" w:rsidP="004F036B">
      <w:pPr>
        <w:spacing w:after="0" w:line="360" w:lineRule="auto"/>
        <w:rPr>
          <w:b/>
          <w:bCs/>
          <w:u w:val="single"/>
        </w:rPr>
      </w:pPr>
      <w:r w:rsidRPr="00C35323">
        <w:rPr>
          <w:b/>
          <w:bCs/>
          <w:u w:val="single"/>
        </w:rPr>
        <w:t>Biologie</w:t>
      </w:r>
      <w:r w:rsidR="00954A3A" w:rsidRPr="00C35323">
        <w:rPr>
          <w:b/>
          <w:bCs/>
          <w:u w:val="single"/>
        </w:rPr>
        <w:t> :</w:t>
      </w:r>
    </w:p>
    <w:p w:rsidR="00954A3A" w:rsidRPr="00C35323" w:rsidRDefault="00954A3A" w:rsidP="004F036B">
      <w:pPr>
        <w:spacing w:after="0" w:line="360" w:lineRule="auto"/>
        <w:rPr>
          <w:u w:val="single"/>
        </w:rPr>
      </w:pPr>
      <w:r w:rsidRPr="00C35323">
        <w:rPr>
          <w:u w:val="single"/>
        </w:rPr>
        <w:t>FNS</w:t>
      </w:r>
      <w:r w:rsidR="00C35323" w:rsidRPr="00C35323">
        <w:rPr>
          <w:u w:val="single"/>
        </w:rPr>
        <w:t> :</w:t>
      </w:r>
    </w:p>
    <w:p w:rsidR="00954A3A" w:rsidRDefault="00C35323" w:rsidP="004F036B">
      <w:pPr>
        <w:spacing w:after="0" w:line="360" w:lineRule="auto"/>
      </w:pPr>
      <w:r>
        <w:t xml:space="preserve">- </w:t>
      </w:r>
      <w:r w:rsidR="00954A3A">
        <w:t>Anémie</w:t>
      </w:r>
    </w:p>
    <w:p w:rsidR="00954A3A" w:rsidRDefault="00C35323" w:rsidP="004F036B">
      <w:pPr>
        <w:spacing w:after="0" w:line="360" w:lineRule="auto"/>
      </w:pPr>
      <w:r>
        <w:t xml:space="preserve">- </w:t>
      </w:r>
      <w:r w:rsidR="00954A3A">
        <w:t>Hyperleucocytose ou leucopénie</w:t>
      </w:r>
    </w:p>
    <w:p w:rsidR="00954A3A" w:rsidRDefault="00C35323" w:rsidP="004F036B">
      <w:pPr>
        <w:spacing w:after="0" w:line="360" w:lineRule="auto"/>
      </w:pPr>
      <w:r>
        <w:t xml:space="preserve">- </w:t>
      </w:r>
      <w:r w:rsidR="00954A3A">
        <w:t>Thrombopénie</w:t>
      </w:r>
    </w:p>
    <w:p w:rsidR="00954A3A" w:rsidRDefault="00C35323" w:rsidP="004F036B">
      <w:pPr>
        <w:spacing w:after="0" w:line="360" w:lineRule="auto"/>
      </w:pPr>
      <w:r>
        <w:t xml:space="preserve">- </w:t>
      </w:r>
      <w:r w:rsidR="00954A3A">
        <w:t>Déviation à gauche de la formule d’ARNETH</w:t>
      </w:r>
    </w:p>
    <w:p w:rsidR="00954A3A" w:rsidRPr="00C35323" w:rsidRDefault="00954A3A" w:rsidP="004F036B">
      <w:pPr>
        <w:spacing w:after="0" w:line="360" w:lineRule="auto"/>
        <w:rPr>
          <w:u w:val="single"/>
        </w:rPr>
      </w:pPr>
      <w:r w:rsidRPr="00C35323">
        <w:rPr>
          <w:u w:val="single"/>
        </w:rPr>
        <w:t>Hémostase</w:t>
      </w:r>
      <w:r w:rsidR="00C35323" w:rsidRPr="00C35323">
        <w:rPr>
          <w:u w:val="single"/>
        </w:rPr>
        <w:t xml:space="preserve"> : </w:t>
      </w:r>
    </w:p>
    <w:p w:rsidR="00954A3A" w:rsidRDefault="00C35323" w:rsidP="004F036B">
      <w:pPr>
        <w:spacing w:after="0" w:line="360" w:lineRule="auto"/>
      </w:pPr>
      <w:r>
        <w:t xml:space="preserve">- </w:t>
      </w:r>
      <w:r w:rsidR="00954A3A">
        <w:t>CIVD</w:t>
      </w:r>
    </w:p>
    <w:p w:rsidR="00954A3A" w:rsidRPr="00C35323" w:rsidRDefault="00954A3A" w:rsidP="004F036B">
      <w:pPr>
        <w:spacing w:after="0" w:line="360" w:lineRule="auto"/>
        <w:rPr>
          <w:u w:val="single"/>
        </w:rPr>
      </w:pPr>
      <w:r w:rsidRPr="00C35323">
        <w:rPr>
          <w:u w:val="single"/>
        </w:rPr>
        <w:t>Protéines de l’inflammation</w:t>
      </w:r>
      <w:r w:rsidR="00C35323" w:rsidRPr="00C35323">
        <w:rPr>
          <w:u w:val="single"/>
        </w:rPr>
        <w:t> :</w:t>
      </w:r>
    </w:p>
    <w:p w:rsidR="00954A3A" w:rsidRDefault="00C35323" w:rsidP="004F036B">
      <w:pPr>
        <w:spacing w:after="0" w:line="360" w:lineRule="auto"/>
      </w:pPr>
      <w:r>
        <w:t xml:space="preserve">- </w:t>
      </w:r>
      <w:r w:rsidR="00954A3A">
        <w:t>CRP</w:t>
      </w:r>
      <w:r w:rsidR="00090EEC">
        <w:t xml:space="preserve"> ≥ 18</w:t>
      </w:r>
      <w:r w:rsidR="0070301B">
        <w:t xml:space="preserve"> </w:t>
      </w:r>
      <w:r w:rsidR="001A197F">
        <w:sym w:font="Wingdings" w:char="F0E0"/>
      </w:r>
      <w:r w:rsidR="001A197F">
        <w:t xml:space="preserve"> </w:t>
      </w:r>
      <w:r w:rsidR="001A197F" w:rsidRPr="005277FA">
        <w:rPr>
          <w:highlight w:val="yellow"/>
        </w:rPr>
        <w:t xml:space="preserve">Examen de choix pour le diagnostic précoce </w:t>
      </w:r>
      <w:r w:rsidR="0070301B" w:rsidRPr="005277FA">
        <w:rPr>
          <w:highlight w:val="yellow"/>
        </w:rPr>
        <w:t>+++</w:t>
      </w:r>
    </w:p>
    <w:p w:rsidR="00492332" w:rsidRDefault="00492332" w:rsidP="004F036B">
      <w:pPr>
        <w:spacing w:after="0" w:line="360" w:lineRule="auto"/>
      </w:pPr>
      <w:r>
        <w:t xml:space="preserve">                        </w:t>
      </w:r>
      <w:r w:rsidRPr="00492332">
        <w:rPr>
          <w:highlight w:val="yellow"/>
        </w:rPr>
        <w:t>Peut être négative +++++</w:t>
      </w:r>
    </w:p>
    <w:p w:rsidR="00954A3A" w:rsidRDefault="00C35323" w:rsidP="00492332">
      <w:pPr>
        <w:spacing w:after="0" w:line="360" w:lineRule="auto"/>
      </w:pPr>
      <w:r>
        <w:t xml:space="preserve">- </w:t>
      </w:r>
      <w:r w:rsidR="00954A3A">
        <w:t>Fibrinogène</w:t>
      </w:r>
      <w:r w:rsidR="00107BBA">
        <w:t xml:space="preserve"> &gt; 4 g/l –</w:t>
      </w:r>
      <w:r w:rsidR="00492332">
        <w:t xml:space="preserve"> </w:t>
      </w:r>
      <w:r w:rsidR="00107BBA">
        <w:t>Orosomucoï</w:t>
      </w:r>
      <w:r w:rsidR="00954A3A">
        <w:t>de</w:t>
      </w:r>
      <w:r w:rsidR="005571C1">
        <w:t xml:space="preserve"> &gt;</w:t>
      </w:r>
      <w:bookmarkStart w:id="0" w:name="_GoBack"/>
      <w:bookmarkEnd w:id="0"/>
      <w:r w:rsidR="00107BBA">
        <w:t xml:space="preserve"> 0.75 g/l</w:t>
      </w:r>
    </w:p>
    <w:p w:rsidR="00954A3A" w:rsidRPr="00C35323" w:rsidRDefault="00954A3A" w:rsidP="004F036B">
      <w:pPr>
        <w:spacing w:after="0" w:line="360" w:lineRule="auto"/>
        <w:rPr>
          <w:u w:val="single"/>
        </w:rPr>
      </w:pPr>
      <w:r w:rsidRPr="00C35323">
        <w:rPr>
          <w:u w:val="single"/>
        </w:rPr>
        <w:t>Biochimie :</w:t>
      </w:r>
    </w:p>
    <w:p w:rsidR="00954A3A" w:rsidRDefault="00C35323" w:rsidP="004F036B">
      <w:pPr>
        <w:spacing w:after="0" w:line="360" w:lineRule="auto"/>
      </w:pPr>
      <w:r>
        <w:t xml:space="preserve">- </w:t>
      </w:r>
      <w:r w:rsidR="00954A3A">
        <w:t>Hypoglycémie</w:t>
      </w:r>
    </w:p>
    <w:p w:rsidR="00954A3A" w:rsidRDefault="00C35323" w:rsidP="004F036B">
      <w:pPr>
        <w:spacing w:after="0" w:line="360" w:lineRule="auto"/>
      </w:pPr>
      <w:r>
        <w:t xml:space="preserve">- </w:t>
      </w:r>
      <w:r w:rsidR="00954A3A">
        <w:t>Hypocalcémie</w:t>
      </w:r>
    </w:p>
    <w:p w:rsidR="0070301B" w:rsidRDefault="00C35323" w:rsidP="004F036B">
      <w:pPr>
        <w:spacing w:after="0" w:line="360" w:lineRule="auto"/>
      </w:pPr>
      <w:r>
        <w:t xml:space="preserve">- </w:t>
      </w:r>
      <w:r w:rsidR="0070301B">
        <w:t>Hyper-bilirubinémie</w:t>
      </w:r>
    </w:p>
    <w:p w:rsidR="00954A3A" w:rsidRDefault="00C35323" w:rsidP="004F036B">
      <w:pPr>
        <w:spacing w:after="0" w:line="360" w:lineRule="auto"/>
      </w:pPr>
      <w:r>
        <w:t xml:space="preserve">- </w:t>
      </w:r>
      <w:r w:rsidR="00954A3A">
        <w:t>Acidose métabolique</w:t>
      </w:r>
    </w:p>
    <w:p w:rsidR="00954A3A" w:rsidRPr="00C35323" w:rsidRDefault="00954A3A" w:rsidP="004F036B">
      <w:pPr>
        <w:spacing w:after="0" w:line="360" w:lineRule="auto"/>
        <w:rPr>
          <w:u w:val="single"/>
        </w:rPr>
      </w:pPr>
      <w:r w:rsidRPr="00C35323">
        <w:rPr>
          <w:u w:val="single"/>
        </w:rPr>
        <w:lastRenderedPageBreak/>
        <w:t>Radio pulmonaire :</w:t>
      </w:r>
    </w:p>
    <w:p w:rsidR="00954A3A" w:rsidRDefault="00981EF3" w:rsidP="004F036B">
      <w:pPr>
        <w:spacing w:after="0" w:line="360" w:lineRule="auto"/>
      </w:pPr>
      <w:r>
        <w:t xml:space="preserve">- </w:t>
      </w:r>
      <w:r w:rsidR="00954A3A">
        <w:t>Micronodules – Opacités – Pneumothorax</w:t>
      </w:r>
    </w:p>
    <w:p w:rsidR="00EC2BBC" w:rsidRPr="00EC2BBC" w:rsidRDefault="00954A3A" w:rsidP="004F036B">
      <w:pPr>
        <w:spacing w:after="0" w:line="360" w:lineRule="auto"/>
        <w:rPr>
          <w:u w:val="single"/>
        </w:rPr>
      </w:pPr>
      <w:r w:rsidRPr="00EC2BBC">
        <w:rPr>
          <w:u w:val="single"/>
        </w:rPr>
        <w:t>Prélèvements bactériologiques</w:t>
      </w:r>
      <w:r w:rsidR="00EC2BBC" w:rsidRPr="00EC2BBC">
        <w:rPr>
          <w:u w:val="single"/>
        </w:rPr>
        <w:t> :</w:t>
      </w:r>
    </w:p>
    <w:p w:rsidR="00954A3A" w:rsidRDefault="00EC2BBC" w:rsidP="004F036B">
      <w:pPr>
        <w:spacing w:after="0" w:line="360" w:lineRule="auto"/>
      </w:pPr>
      <w:r>
        <w:t>- L</w:t>
      </w:r>
      <w:r w:rsidR="00954A3A">
        <w:t>a mère : hémocultures, placenta, cordon, LA, ECBU …</w:t>
      </w:r>
    </w:p>
    <w:p w:rsidR="00954A3A" w:rsidRDefault="00981EF3" w:rsidP="00EC2BBC">
      <w:pPr>
        <w:spacing w:after="0" w:line="360" w:lineRule="auto"/>
      </w:pPr>
      <w:r>
        <w:t xml:space="preserve">- </w:t>
      </w:r>
      <w:r w:rsidR="00EC2BBC">
        <w:t>Le nouveau-né :</w:t>
      </w:r>
      <w:r w:rsidR="00954A3A">
        <w:t xml:space="preserve"> Périphériques : nez, pharynx ….</w:t>
      </w:r>
    </w:p>
    <w:p w:rsidR="00954A3A" w:rsidRDefault="00EC2BBC" w:rsidP="00954A3A">
      <w:pPr>
        <w:tabs>
          <w:tab w:val="left" w:pos="3585"/>
        </w:tabs>
        <w:spacing w:after="0" w:line="360" w:lineRule="auto"/>
      </w:pPr>
      <w:r>
        <w:t xml:space="preserve">                               </w:t>
      </w:r>
      <w:r w:rsidR="00981EF3">
        <w:t xml:space="preserve"> </w:t>
      </w:r>
      <w:r w:rsidR="00954A3A">
        <w:t>Centraux : hémocultures, LCR, ECBU</w:t>
      </w:r>
    </w:p>
    <w:p w:rsidR="004F036B" w:rsidRPr="00C35323" w:rsidRDefault="00C35323" w:rsidP="004F036B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3. </w:t>
      </w:r>
      <w:r w:rsidR="004F036B" w:rsidRPr="00C35323">
        <w:rPr>
          <w:b/>
          <w:bCs/>
          <w:sz w:val="28"/>
          <w:szCs w:val="28"/>
          <w:u w:val="single"/>
        </w:rPr>
        <w:t>Infections post-natales</w:t>
      </w:r>
    </w:p>
    <w:p w:rsidR="0070301B" w:rsidRDefault="0070301B" w:rsidP="0070301B">
      <w:pPr>
        <w:spacing w:after="0" w:line="360" w:lineRule="auto"/>
      </w:pPr>
      <w:r>
        <w:t>Entre 4</w:t>
      </w:r>
      <w:r w:rsidRPr="0070301B">
        <w:rPr>
          <w:vertAlign w:val="superscript"/>
        </w:rPr>
        <w:t>ème</w:t>
      </w:r>
      <w:r>
        <w:t xml:space="preserve"> et 28</w:t>
      </w:r>
      <w:r w:rsidRPr="0070301B">
        <w:rPr>
          <w:vertAlign w:val="superscript"/>
        </w:rPr>
        <w:t>ème</w:t>
      </w:r>
      <w:r>
        <w:t xml:space="preserve"> jour</w:t>
      </w:r>
      <w:r w:rsidR="00981EF3">
        <w:t xml:space="preserve"> ++++</w:t>
      </w:r>
    </w:p>
    <w:p w:rsidR="004F036B" w:rsidRPr="00981EF3" w:rsidRDefault="004F036B" w:rsidP="004F036B">
      <w:pPr>
        <w:spacing w:after="0" w:line="360" w:lineRule="auto"/>
        <w:rPr>
          <w:b/>
          <w:bCs/>
          <w:u w:val="single"/>
        </w:rPr>
      </w:pPr>
      <w:r w:rsidRPr="00981EF3">
        <w:rPr>
          <w:b/>
          <w:bCs/>
          <w:u w:val="single"/>
        </w:rPr>
        <w:t>Modes de contamination</w:t>
      </w:r>
      <w:r w:rsidR="00981EF3" w:rsidRPr="00981EF3">
        <w:rPr>
          <w:b/>
          <w:bCs/>
          <w:u w:val="single"/>
        </w:rPr>
        <w:t> :</w:t>
      </w:r>
    </w:p>
    <w:p w:rsidR="0070301B" w:rsidRDefault="00981EF3" w:rsidP="004F036B">
      <w:pPr>
        <w:spacing w:after="0" w:line="360" w:lineRule="auto"/>
      </w:pPr>
      <w:r>
        <w:t xml:space="preserve">- </w:t>
      </w:r>
      <w:r w:rsidR="0070301B">
        <w:t>Acquise après la naissance</w:t>
      </w:r>
    </w:p>
    <w:p w:rsidR="0070301B" w:rsidRDefault="00981EF3" w:rsidP="004F036B">
      <w:pPr>
        <w:spacing w:after="0" w:line="360" w:lineRule="auto"/>
      </w:pPr>
      <w:r>
        <w:t xml:space="preserve">- </w:t>
      </w:r>
      <w:r w:rsidR="0070301B">
        <w:t>Apparition tardive d’une infection d’origine maternelle</w:t>
      </w:r>
    </w:p>
    <w:p w:rsidR="004F036B" w:rsidRPr="00981EF3" w:rsidRDefault="004F036B" w:rsidP="004F036B">
      <w:pPr>
        <w:spacing w:after="0" w:line="360" w:lineRule="auto"/>
        <w:rPr>
          <w:b/>
          <w:bCs/>
          <w:u w:val="single"/>
        </w:rPr>
      </w:pPr>
      <w:r w:rsidRPr="00981EF3">
        <w:rPr>
          <w:b/>
          <w:bCs/>
          <w:u w:val="single"/>
        </w:rPr>
        <w:t>Germes</w:t>
      </w:r>
      <w:r w:rsidR="0070301B" w:rsidRPr="00981EF3">
        <w:rPr>
          <w:b/>
          <w:bCs/>
          <w:u w:val="single"/>
        </w:rPr>
        <w:t> :</w:t>
      </w:r>
    </w:p>
    <w:p w:rsidR="0070301B" w:rsidRDefault="00981EF3" w:rsidP="004F036B">
      <w:pPr>
        <w:spacing w:after="0" w:line="360" w:lineRule="auto"/>
      </w:pPr>
      <w:r>
        <w:t xml:space="preserve">- </w:t>
      </w:r>
      <w:r w:rsidR="0070301B">
        <w:t>Staphylocoque doré</w:t>
      </w:r>
    </w:p>
    <w:p w:rsidR="0070301B" w:rsidRDefault="00981EF3" w:rsidP="004F036B">
      <w:pPr>
        <w:spacing w:after="0" w:line="360" w:lineRule="auto"/>
      </w:pPr>
      <w:r>
        <w:t xml:space="preserve">- </w:t>
      </w:r>
      <w:r w:rsidR="0070301B">
        <w:t>Staphylocoque blanc</w:t>
      </w:r>
    </w:p>
    <w:p w:rsidR="0070301B" w:rsidRDefault="00981EF3" w:rsidP="004F036B">
      <w:pPr>
        <w:spacing w:after="0" w:line="360" w:lineRule="auto"/>
      </w:pPr>
      <w:r>
        <w:t xml:space="preserve">- </w:t>
      </w:r>
      <w:r w:rsidR="0070301B">
        <w:t>Entérobactéries</w:t>
      </w:r>
    </w:p>
    <w:p w:rsidR="00981EF3" w:rsidRDefault="00981EF3" w:rsidP="00385FD1">
      <w:pPr>
        <w:spacing w:after="0" w:line="360" w:lineRule="auto"/>
      </w:pPr>
      <w:r>
        <w:t xml:space="preserve">- </w:t>
      </w:r>
      <w:r w:rsidR="0070301B">
        <w:t>Pyocyaniques</w:t>
      </w:r>
    </w:p>
    <w:p w:rsidR="004F036B" w:rsidRPr="00C35323" w:rsidRDefault="004566D5" w:rsidP="004F036B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</w:t>
      </w:r>
      <w:r w:rsidR="00C35323">
        <w:rPr>
          <w:b/>
          <w:bCs/>
          <w:sz w:val="28"/>
          <w:szCs w:val="28"/>
          <w:u w:val="single"/>
        </w:rPr>
        <w:t xml:space="preserve">. </w:t>
      </w:r>
      <w:r w:rsidR="004F036B" w:rsidRPr="00C35323">
        <w:rPr>
          <w:b/>
          <w:bCs/>
          <w:sz w:val="28"/>
          <w:szCs w:val="28"/>
          <w:u w:val="single"/>
        </w:rPr>
        <w:t>Traitement</w:t>
      </w:r>
      <w:r w:rsidR="00E51BA4" w:rsidRPr="00C35323">
        <w:rPr>
          <w:b/>
          <w:bCs/>
          <w:sz w:val="28"/>
          <w:szCs w:val="28"/>
          <w:u w:val="single"/>
        </w:rPr>
        <w:t> :</w:t>
      </w:r>
    </w:p>
    <w:p w:rsidR="002E737C" w:rsidRPr="00F53893" w:rsidRDefault="002E737C" w:rsidP="002E737C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53893">
        <w:rPr>
          <w:b/>
          <w:bCs/>
          <w:sz w:val="24"/>
          <w:szCs w:val="24"/>
          <w:u w:val="single"/>
        </w:rPr>
        <w:t>Traitement symptomatique :</w:t>
      </w:r>
    </w:p>
    <w:p w:rsidR="00817687" w:rsidRDefault="00817687" w:rsidP="002E737C">
      <w:pPr>
        <w:spacing w:after="0" w:line="360" w:lineRule="auto"/>
      </w:pPr>
      <w:r>
        <w:t>- Antipyrétique</w:t>
      </w:r>
    </w:p>
    <w:p w:rsidR="00817687" w:rsidRDefault="00817687" w:rsidP="00F53893">
      <w:pPr>
        <w:spacing w:after="0" w:line="360" w:lineRule="auto"/>
      </w:pPr>
      <w:r>
        <w:t xml:space="preserve">- </w:t>
      </w:r>
      <w:r w:rsidR="00F53893">
        <w:t>Corriger les désordres métaboliques, hémodynamiques, respiratoire</w:t>
      </w:r>
    </w:p>
    <w:p w:rsidR="00817687" w:rsidRDefault="00F53893" w:rsidP="002E737C">
      <w:pPr>
        <w:spacing w:after="0" w:line="360" w:lineRule="auto"/>
      </w:pPr>
      <w:r>
        <w:t>- Surveillance</w:t>
      </w:r>
    </w:p>
    <w:p w:rsidR="00F53893" w:rsidRPr="00F53893" w:rsidRDefault="00F53893" w:rsidP="002E737C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53893">
        <w:rPr>
          <w:b/>
          <w:bCs/>
          <w:sz w:val="24"/>
          <w:szCs w:val="24"/>
          <w:u w:val="single"/>
        </w:rPr>
        <w:t>Antibiothérapie :</w:t>
      </w:r>
    </w:p>
    <w:p w:rsidR="00E51BA4" w:rsidRDefault="00E51BA4" w:rsidP="002E737C">
      <w:pPr>
        <w:spacing w:after="0" w:line="360" w:lineRule="auto"/>
      </w:pPr>
      <w:r>
        <w:t xml:space="preserve">Antibiothérapie de première intention : </w:t>
      </w:r>
      <w:r w:rsidRPr="007C6F9B">
        <w:rPr>
          <w:highlight w:val="yellow"/>
        </w:rPr>
        <w:t>Ampicilline + Gentamycine</w:t>
      </w:r>
      <w:r w:rsidR="00C35323">
        <w:t xml:space="preserve"> (</w:t>
      </w:r>
      <w:r w:rsidR="002E737C">
        <w:t>±</w:t>
      </w:r>
      <w:r w:rsidR="00C35323">
        <w:t xml:space="preserve"> Céfotaxime)</w:t>
      </w:r>
    </w:p>
    <w:p w:rsidR="00E51BA4" w:rsidRDefault="00E51BA4" w:rsidP="00E51BA4">
      <w:pPr>
        <w:spacing w:after="0" w:line="360" w:lineRule="auto"/>
      </w:pPr>
      <w:r>
        <w:t>Adaptée secondairement à l’antibiogramme</w:t>
      </w:r>
    </w:p>
    <w:p w:rsidR="00E51BA4" w:rsidRDefault="00E51BA4" w:rsidP="00E51BA4">
      <w:pPr>
        <w:spacing w:after="0" w:line="360" w:lineRule="auto"/>
      </w:pPr>
      <w:r w:rsidRPr="00981EF3">
        <w:rPr>
          <w:u w:val="single"/>
        </w:rPr>
        <w:t>Durée :</w:t>
      </w:r>
      <w:r>
        <w:t xml:space="preserve"> - Septicémies et les infections pulmonaires : 10 à 15 jou</w:t>
      </w:r>
      <w:r w:rsidR="000154F8">
        <w:t>r</w:t>
      </w:r>
      <w:r>
        <w:t>s</w:t>
      </w:r>
    </w:p>
    <w:p w:rsidR="00A451C9" w:rsidRDefault="00E51BA4" w:rsidP="00A451C9">
      <w:pPr>
        <w:ind w:firstLine="708"/>
      </w:pPr>
      <w:r>
        <w:t>- Méningites : 21 jours</w:t>
      </w:r>
    </w:p>
    <w:p w:rsidR="00A451C9" w:rsidRPr="00E51BA4" w:rsidRDefault="00A451C9" w:rsidP="00A451C9"/>
    <w:sectPr w:rsidR="00A451C9" w:rsidRPr="00E51BA4" w:rsidSect="00A451C9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9EF"/>
    <w:rsid w:val="000154F8"/>
    <w:rsid w:val="00090EEC"/>
    <w:rsid w:val="00107BBA"/>
    <w:rsid w:val="001A197F"/>
    <w:rsid w:val="002E737C"/>
    <w:rsid w:val="003429EF"/>
    <w:rsid w:val="00385FD1"/>
    <w:rsid w:val="00410C6A"/>
    <w:rsid w:val="004566D5"/>
    <w:rsid w:val="00492332"/>
    <w:rsid w:val="004F036B"/>
    <w:rsid w:val="005277FA"/>
    <w:rsid w:val="005571C1"/>
    <w:rsid w:val="005C53D7"/>
    <w:rsid w:val="006F0633"/>
    <w:rsid w:val="0070301B"/>
    <w:rsid w:val="007C6F9B"/>
    <w:rsid w:val="00817687"/>
    <w:rsid w:val="00954A3A"/>
    <w:rsid w:val="00981EF3"/>
    <w:rsid w:val="00A451C9"/>
    <w:rsid w:val="00A50AF6"/>
    <w:rsid w:val="00BB2F21"/>
    <w:rsid w:val="00C35323"/>
    <w:rsid w:val="00C420C6"/>
    <w:rsid w:val="00E51BA4"/>
    <w:rsid w:val="00EC2BBC"/>
    <w:rsid w:val="00ED436C"/>
    <w:rsid w:val="00F53893"/>
    <w:rsid w:val="00FC3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70B6D-D832-401A-8EB0-1E32EE5E2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322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Hamid</cp:lastModifiedBy>
  <cp:revision>16</cp:revision>
  <dcterms:created xsi:type="dcterms:W3CDTF">2014-03-08T11:19:00Z</dcterms:created>
  <dcterms:modified xsi:type="dcterms:W3CDTF">2014-07-10T12:17:00Z</dcterms:modified>
</cp:coreProperties>
</file>