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5ED2" w:rsidRPr="00EA0439" w:rsidRDefault="000B5ED2" w:rsidP="00EA0439">
      <w:pPr>
        <w:jc w:val="center"/>
        <w:rPr>
          <w:b/>
          <w:bCs/>
          <w:color w:val="FF0000"/>
        </w:rPr>
      </w:pPr>
      <w:r w:rsidRPr="00EA0439">
        <w:rPr>
          <w:b/>
          <w:bCs/>
          <w:color w:val="FF0000"/>
        </w:rPr>
        <w:t>Diagnostic d’une paralysie faciale périphérique</w:t>
      </w:r>
    </w:p>
    <w:p w:rsidR="00C758BB" w:rsidRDefault="000B5ED2" w:rsidP="00501C9B">
      <w:pPr>
        <w:pStyle w:val="Paragraphedeliste"/>
        <w:numPr>
          <w:ilvl w:val="0"/>
          <w:numId w:val="1"/>
        </w:numPr>
      </w:pPr>
      <w:r w:rsidRPr="00EA0439">
        <w:rPr>
          <w:highlight w:val="yellow"/>
        </w:rPr>
        <w:t>nerf facial VII </w:t>
      </w:r>
      <w:r w:rsidR="00EA0439" w:rsidRPr="00EA0439">
        <w:rPr>
          <w:highlight w:val="yellow"/>
        </w:rPr>
        <w:t>=</w:t>
      </w:r>
      <w:r w:rsidRPr="00EA0439">
        <w:rPr>
          <w:highlight w:val="yellow"/>
        </w:rPr>
        <w:t xml:space="preserve"> </w:t>
      </w:r>
      <w:r w:rsidR="00501C9B" w:rsidRPr="00EA0439">
        <w:rPr>
          <w:highlight w:val="yellow"/>
        </w:rPr>
        <w:t>VII</w:t>
      </w:r>
      <w:r w:rsidRPr="00EA0439">
        <w:rPr>
          <w:highlight w:val="yellow"/>
        </w:rPr>
        <w:t xml:space="preserve"> moteur</w:t>
      </w:r>
      <w:r w:rsidR="00501C9B" w:rsidRPr="00EA0439">
        <w:rPr>
          <w:highlight w:val="yellow"/>
        </w:rPr>
        <w:t xml:space="preserve"> + intermédiaire de </w:t>
      </w:r>
      <w:proofErr w:type="spellStart"/>
      <w:r w:rsidR="00501C9B" w:rsidRPr="00EA0439">
        <w:rPr>
          <w:highlight w:val="yellow"/>
        </w:rPr>
        <w:t>Wrisberg</w:t>
      </w:r>
      <w:proofErr w:type="spellEnd"/>
      <w:r w:rsidR="00501C9B" w:rsidRPr="00EA0439">
        <w:rPr>
          <w:highlight w:val="yellow"/>
        </w:rPr>
        <w:t xml:space="preserve"> (</w:t>
      </w:r>
      <w:proofErr w:type="spellStart"/>
      <w:r w:rsidR="00501C9B" w:rsidRPr="00EA0439">
        <w:rPr>
          <w:highlight w:val="yellow"/>
        </w:rPr>
        <w:t>sensitivo</w:t>
      </w:r>
      <w:proofErr w:type="spellEnd"/>
      <w:r w:rsidR="00501C9B" w:rsidRPr="00EA0439">
        <w:rPr>
          <w:highlight w:val="yellow"/>
        </w:rPr>
        <w:t>-sensoriel)</w:t>
      </w:r>
    </w:p>
    <w:p w:rsidR="000B5ED2" w:rsidRDefault="000B5ED2" w:rsidP="00C848F0">
      <w:pPr>
        <w:pStyle w:val="Paragraphedeliste"/>
        <w:numPr>
          <w:ilvl w:val="0"/>
          <w:numId w:val="2"/>
        </w:numPr>
      </w:pPr>
      <w:r>
        <w:t>sensitive : zone de Ramsay-Hunt (</w:t>
      </w:r>
      <w:r w:rsidR="00C848F0">
        <w:t>CAE + pavillon de l’oreille</w:t>
      </w:r>
      <w:r>
        <w:t xml:space="preserve">)  </w:t>
      </w:r>
    </w:p>
    <w:p w:rsidR="000B5ED2" w:rsidRDefault="000B5ED2" w:rsidP="000B5ED2">
      <w:pPr>
        <w:pStyle w:val="Paragraphedeliste"/>
        <w:numPr>
          <w:ilvl w:val="0"/>
          <w:numId w:val="2"/>
        </w:numPr>
      </w:pPr>
      <w:r>
        <w:t>sensorielle : gustative des 2/3 ant de la langue</w:t>
      </w:r>
    </w:p>
    <w:p w:rsidR="000B5ED2" w:rsidRDefault="000B5ED2" w:rsidP="00B12D43">
      <w:pPr>
        <w:pStyle w:val="Paragraphedeliste"/>
        <w:numPr>
          <w:ilvl w:val="0"/>
          <w:numId w:val="2"/>
        </w:numPr>
      </w:pPr>
      <w:r>
        <w:t>végétative : sécr</w:t>
      </w:r>
      <w:r w:rsidR="00BA76E8">
        <w:t xml:space="preserve">étion des glandes lacrymales, </w:t>
      </w:r>
      <w:r w:rsidR="00B12D43">
        <w:t xml:space="preserve"> les glandes des cavités</w:t>
      </w:r>
      <w:r>
        <w:t xml:space="preserve"> nasales</w:t>
      </w:r>
      <w:r w:rsidR="00BA76E8">
        <w:t xml:space="preserve">, </w:t>
      </w:r>
      <w:r w:rsidR="00B12D43">
        <w:t xml:space="preserve">les glandes salivaires : </w:t>
      </w:r>
      <w:r w:rsidR="00BA76E8">
        <w:t xml:space="preserve">sous mandibulaires et </w:t>
      </w:r>
      <w:r w:rsidR="00B12D43">
        <w:t>sublinguales</w:t>
      </w:r>
    </w:p>
    <w:p w:rsidR="00BA76E8" w:rsidRPr="00EA0439" w:rsidRDefault="00BA76E8" w:rsidP="00BA76E8">
      <w:pPr>
        <w:rPr>
          <w:b/>
          <w:bCs/>
          <w:color w:val="FF0000"/>
        </w:rPr>
      </w:pPr>
      <w:r w:rsidRPr="00EA0439">
        <w:rPr>
          <w:b/>
          <w:bCs/>
          <w:color w:val="FF0000"/>
        </w:rPr>
        <w:t xml:space="preserve">Clinique : </w:t>
      </w:r>
    </w:p>
    <w:p w:rsidR="00BA76E8" w:rsidRDefault="00C848F0" w:rsidP="00BA76E8">
      <w:pPr>
        <w:pStyle w:val="Paragraphedeliste"/>
        <w:numPr>
          <w:ilvl w:val="0"/>
          <w:numId w:val="3"/>
        </w:numPr>
      </w:pPr>
      <w:r w:rsidRPr="00EA0439">
        <w:rPr>
          <w:b/>
          <w:bCs/>
          <w:color w:val="FF0000"/>
        </w:rPr>
        <w:t xml:space="preserve">le nerf moteur VII : </w:t>
      </w:r>
      <w:r>
        <w:t>innerve les muscles de la face et le peaucier du cou</w:t>
      </w:r>
    </w:p>
    <w:p w:rsidR="00BA76E8" w:rsidRPr="00EA0439" w:rsidRDefault="00501C9B" w:rsidP="00EA0439">
      <w:pPr>
        <w:pStyle w:val="Paragraphedeliste"/>
        <w:numPr>
          <w:ilvl w:val="0"/>
          <w:numId w:val="5"/>
        </w:numPr>
        <w:rPr>
          <w:b/>
          <w:bCs/>
        </w:rPr>
      </w:pPr>
      <w:r w:rsidRPr="00EA0439">
        <w:rPr>
          <w:b/>
          <w:bCs/>
        </w:rPr>
        <w:t>Etage supérieur</w:t>
      </w:r>
      <w:r w:rsidR="00BA76E8" w:rsidRPr="00EA0439">
        <w:rPr>
          <w:b/>
          <w:bCs/>
        </w:rPr>
        <w:t xml:space="preserve"> : </w:t>
      </w:r>
    </w:p>
    <w:p w:rsidR="00BA76E8" w:rsidRDefault="00BA76E8" w:rsidP="00BA76E8">
      <w:pPr>
        <w:pStyle w:val="Paragraphedeliste"/>
        <w:numPr>
          <w:ilvl w:val="0"/>
          <w:numId w:val="2"/>
        </w:numPr>
      </w:pPr>
      <w:r>
        <w:t>effacement des rides du front</w:t>
      </w:r>
    </w:p>
    <w:p w:rsidR="00BA76E8" w:rsidRDefault="00BA76E8" w:rsidP="00BA76E8">
      <w:pPr>
        <w:pStyle w:val="Paragraphedeliste"/>
        <w:numPr>
          <w:ilvl w:val="0"/>
          <w:numId w:val="2"/>
        </w:numPr>
      </w:pPr>
      <w:r>
        <w:t>élargissement de la fente palpébrale</w:t>
      </w:r>
      <w:r w:rsidR="00501C9B">
        <w:t xml:space="preserve"> + </w:t>
      </w:r>
      <w:r>
        <w:t>abaissement de la paupière inf</w:t>
      </w:r>
    </w:p>
    <w:p w:rsidR="00501C9B" w:rsidRDefault="00501C9B" w:rsidP="00501C9B">
      <w:pPr>
        <w:pStyle w:val="Paragraphedeliste"/>
        <w:numPr>
          <w:ilvl w:val="0"/>
          <w:numId w:val="2"/>
        </w:numPr>
      </w:pPr>
      <w:r>
        <w:t xml:space="preserve">impossibilité de fermer l’œil : lagophtalmie </w:t>
      </w:r>
    </w:p>
    <w:p w:rsidR="00501C9B" w:rsidRDefault="00501C9B" w:rsidP="00931C62">
      <w:pPr>
        <w:pStyle w:val="Paragraphedeliste"/>
        <w:numPr>
          <w:ilvl w:val="0"/>
          <w:numId w:val="2"/>
        </w:numPr>
      </w:pPr>
      <w:r w:rsidRPr="00EA0439">
        <w:rPr>
          <w:highlight w:val="yellow"/>
        </w:rPr>
        <w:t>signe de Charles Bell</w:t>
      </w:r>
      <w:r>
        <w:t> : lors de la t</w:t>
      </w:r>
      <w:r w:rsidR="00931C62">
        <w:t>entative d’occlusion palpébrale</w:t>
      </w:r>
      <w:r>
        <w:t xml:space="preserve">, </w:t>
      </w:r>
      <w:r w:rsidR="00C848F0">
        <w:t>l’œil reste ouvert avec déplacement synergique du</w:t>
      </w:r>
      <w:r>
        <w:t xml:space="preserve"> </w:t>
      </w:r>
      <w:r w:rsidR="00C848F0">
        <w:t>globe oculaire</w:t>
      </w:r>
      <w:r>
        <w:t xml:space="preserve"> en haut et en dehors </w:t>
      </w:r>
      <w:r w:rsidR="00C848F0">
        <w:t>(par contraction du droit sup)</w:t>
      </w:r>
    </w:p>
    <w:p w:rsidR="00501C9B" w:rsidRDefault="00501C9B" w:rsidP="002B0BDB">
      <w:pPr>
        <w:pStyle w:val="Paragraphedeliste"/>
        <w:numPr>
          <w:ilvl w:val="0"/>
          <w:numId w:val="2"/>
        </w:numPr>
      </w:pPr>
      <w:r>
        <w:t>abolition du réflexe cornéen</w:t>
      </w:r>
      <w:r w:rsidR="002B0BDB">
        <w:t xml:space="preserve"> (afférence : branche ophtalmique </w:t>
      </w:r>
      <w:r w:rsidR="002B0BDB" w:rsidRPr="002B0BDB">
        <w:rPr>
          <w:highlight w:val="cyan"/>
        </w:rPr>
        <w:t>V1</w:t>
      </w:r>
      <w:r w:rsidR="002B0BDB">
        <w:t>, efférente VII)</w:t>
      </w:r>
    </w:p>
    <w:p w:rsidR="00501C9B" w:rsidRPr="00EA0439" w:rsidRDefault="00C848F0" w:rsidP="00C848F0">
      <w:pPr>
        <w:pStyle w:val="Paragraphedeliste"/>
        <w:numPr>
          <w:ilvl w:val="0"/>
          <w:numId w:val="4"/>
        </w:numPr>
        <w:rPr>
          <w:b/>
          <w:bCs/>
        </w:rPr>
      </w:pPr>
      <w:r w:rsidRPr="00EA0439">
        <w:rPr>
          <w:b/>
          <w:bCs/>
        </w:rPr>
        <w:t xml:space="preserve">Etage inférieur : </w:t>
      </w:r>
    </w:p>
    <w:p w:rsidR="00BA76E8" w:rsidRDefault="00BA76E8" w:rsidP="00BA76E8">
      <w:pPr>
        <w:pStyle w:val="Paragraphedeliste"/>
        <w:numPr>
          <w:ilvl w:val="0"/>
          <w:numId w:val="2"/>
        </w:numPr>
      </w:pPr>
      <w:r>
        <w:t>effacement du pli naso-génien</w:t>
      </w:r>
    </w:p>
    <w:p w:rsidR="00C848F0" w:rsidRDefault="00BA76E8" w:rsidP="00C848F0">
      <w:pPr>
        <w:pStyle w:val="Paragraphedeliste"/>
        <w:numPr>
          <w:ilvl w:val="0"/>
          <w:numId w:val="2"/>
        </w:numPr>
      </w:pPr>
      <w:r>
        <w:t>chute de la commissure labiale</w:t>
      </w:r>
      <w:r w:rsidR="00C848F0" w:rsidRPr="00C848F0">
        <w:t xml:space="preserve"> </w:t>
      </w:r>
      <w:r w:rsidR="00C848F0">
        <w:t>+ attraction du nez et de la bouche</w:t>
      </w:r>
    </w:p>
    <w:p w:rsidR="00BA76E8" w:rsidRDefault="00931C62" w:rsidP="00C848F0">
      <w:pPr>
        <w:pStyle w:val="Paragraphedeliste"/>
        <w:numPr>
          <w:ilvl w:val="0"/>
          <w:numId w:val="2"/>
        </w:numPr>
      </w:pPr>
      <w:r>
        <w:t>le malade ne peut</w:t>
      </w:r>
      <w:r w:rsidR="00C848F0">
        <w:t xml:space="preserve"> ni sourire, ni siffler, ni gonfler la joue </w:t>
      </w:r>
    </w:p>
    <w:p w:rsidR="00BA76E8" w:rsidRDefault="00BA76E8" w:rsidP="00C848F0">
      <w:pPr>
        <w:pStyle w:val="Paragraphedeliste"/>
        <w:numPr>
          <w:ilvl w:val="0"/>
          <w:numId w:val="2"/>
        </w:numPr>
      </w:pPr>
      <w:r w:rsidRPr="00EA0439">
        <w:rPr>
          <w:highlight w:val="yellow"/>
        </w:rPr>
        <w:t>signe du peaucier de Babinski</w:t>
      </w:r>
      <w:r w:rsidR="00C848F0">
        <w:t> : le peaucier du cou ne se contracte pas à l’ouverture contrariée de la bouche</w:t>
      </w:r>
    </w:p>
    <w:p w:rsidR="00C848F0" w:rsidRDefault="00C848F0" w:rsidP="00C848F0">
      <w:pPr>
        <w:pStyle w:val="Paragraphedeliste"/>
        <w:ind w:left="1080"/>
      </w:pPr>
    </w:p>
    <w:p w:rsidR="00BA76E8" w:rsidRPr="00EA0439" w:rsidRDefault="00BA76E8" w:rsidP="00BA76E8">
      <w:pPr>
        <w:pStyle w:val="Paragraphedeliste"/>
        <w:numPr>
          <w:ilvl w:val="0"/>
          <w:numId w:val="4"/>
        </w:numPr>
        <w:rPr>
          <w:b/>
          <w:bCs/>
        </w:rPr>
      </w:pPr>
      <w:r w:rsidRPr="00EA0439">
        <w:rPr>
          <w:b/>
          <w:bCs/>
        </w:rPr>
        <w:t xml:space="preserve">PF frustre </w:t>
      </w:r>
    </w:p>
    <w:p w:rsidR="00BA76E8" w:rsidRDefault="00BA76E8" w:rsidP="00BA76E8">
      <w:pPr>
        <w:pStyle w:val="Paragraphedeliste"/>
        <w:numPr>
          <w:ilvl w:val="0"/>
          <w:numId w:val="1"/>
        </w:numPr>
      </w:pPr>
      <w:r w:rsidRPr="00EA0439">
        <w:rPr>
          <w:highlight w:val="yellow"/>
        </w:rPr>
        <w:t>signe de Souques</w:t>
      </w:r>
      <w:r>
        <w:t> : lors de la fermeture maximale des yeux, les cils paraissent plus longs du coté paralysé</w:t>
      </w:r>
    </w:p>
    <w:p w:rsidR="00BA76E8" w:rsidRDefault="00BA76E8" w:rsidP="00BA76E8">
      <w:pPr>
        <w:pStyle w:val="Paragraphedeliste"/>
        <w:numPr>
          <w:ilvl w:val="0"/>
          <w:numId w:val="1"/>
        </w:numPr>
      </w:pPr>
      <w:r w:rsidRPr="00EA0439">
        <w:rPr>
          <w:highlight w:val="yellow"/>
        </w:rPr>
        <w:t>signe de Collet</w:t>
      </w:r>
      <w:r>
        <w:t> : lors du clignement, la paupière du coté paralysé se ferme en retard</w:t>
      </w:r>
    </w:p>
    <w:p w:rsidR="0017522C" w:rsidRDefault="0017522C" w:rsidP="0017522C">
      <w:pPr>
        <w:pStyle w:val="Paragraphedeliste"/>
      </w:pPr>
    </w:p>
    <w:p w:rsidR="00BA76E8" w:rsidRPr="00EA0439" w:rsidRDefault="00BA76E8" w:rsidP="00BA76E8">
      <w:pPr>
        <w:pStyle w:val="Paragraphedeliste"/>
        <w:numPr>
          <w:ilvl w:val="0"/>
          <w:numId w:val="4"/>
        </w:numPr>
        <w:rPr>
          <w:b/>
          <w:bCs/>
        </w:rPr>
      </w:pPr>
      <w:r w:rsidRPr="00EA0439">
        <w:rPr>
          <w:b/>
          <w:bCs/>
        </w:rPr>
        <w:t xml:space="preserve">sujet inconscient : </w:t>
      </w:r>
    </w:p>
    <w:p w:rsidR="00BA76E8" w:rsidRDefault="00BA76E8" w:rsidP="00C848F0">
      <w:pPr>
        <w:pStyle w:val="Paragraphedeliste"/>
        <w:numPr>
          <w:ilvl w:val="0"/>
          <w:numId w:val="1"/>
        </w:numPr>
      </w:pPr>
      <w:r w:rsidRPr="00EA0439">
        <w:rPr>
          <w:highlight w:val="yellow"/>
        </w:rPr>
        <w:t>manœuvre de Pierre Marie et Foix</w:t>
      </w:r>
      <w:r>
        <w:t xml:space="preserve"> : la pression </w:t>
      </w:r>
      <w:r w:rsidR="00C848F0">
        <w:t xml:space="preserve">du nerf facial en arrière de la branche montante du </w:t>
      </w:r>
      <w:r>
        <w:t>ma</w:t>
      </w:r>
      <w:r w:rsidR="00C848F0">
        <w:t>xillaire inf entraine une grimace du coté sain</w:t>
      </w:r>
      <w:r>
        <w:t xml:space="preserve"> </w:t>
      </w:r>
    </w:p>
    <w:p w:rsidR="00C848F0" w:rsidRDefault="00C848F0" w:rsidP="00C848F0">
      <w:pPr>
        <w:pStyle w:val="Paragraphedeliste"/>
      </w:pPr>
    </w:p>
    <w:p w:rsidR="00851126" w:rsidRDefault="0017522C" w:rsidP="00BA76E8">
      <w:pPr>
        <w:pStyle w:val="Paragraphedeliste"/>
        <w:numPr>
          <w:ilvl w:val="0"/>
          <w:numId w:val="3"/>
        </w:numPr>
      </w:pPr>
      <w:r w:rsidRPr="00EA0439">
        <w:rPr>
          <w:b/>
          <w:bCs/>
          <w:color w:val="FF0000"/>
        </w:rPr>
        <w:t xml:space="preserve">l’intermédiaire de </w:t>
      </w:r>
      <w:proofErr w:type="spellStart"/>
      <w:r w:rsidRPr="00EA0439">
        <w:rPr>
          <w:b/>
          <w:bCs/>
          <w:color w:val="FF0000"/>
        </w:rPr>
        <w:t>Wrisberg</w:t>
      </w:r>
      <w:proofErr w:type="spellEnd"/>
      <w:r>
        <w:t xml:space="preserve"> : </w:t>
      </w:r>
      <w:r w:rsidR="00851126">
        <w:t>troubles sensitifs et sensoriels </w:t>
      </w:r>
    </w:p>
    <w:p w:rsidR="00851126" w:rsidRDefault="00851126" w:rsidP="00851126">
      <w:pPr>
        <w:pStyle w:val="Paragraphedeliste"/>
        <w:numPr>
          <w:ilvl w:val="0"/>
          <w:numId w:val="2"/>
        </w:numPr>
      </w:pPr>
      <w:r>
        <w:t>agueusie des 2/3 ant de la langue</w:t>
      </w:r>
    </w:p>
    <w:p w:rsidR="00851126" w:rsidRDefault="00851126" w:rsidP="00851126">
      <w:pPr>
        <w:pStyle w:val="Paragraphedeliste"/>
        <w:numPr>
          <w:ilvl w:val="0"/>
          <w:numId w:val="2"/>
        </w:numPr>
      </w:pPr>
      <w:r>
        <w:t xml:space="preserve">hypoesthésie de la zone de </w:t>
      </w:r>
      <w:proofErr w:type="spellStart"/>
      <w:r>
        <w:t>Ramsey</w:t>
      </w:r>
      <w:proofErr w:type="spellEnd"/>
      <w:r>
        <w:t xml:space="preserve"> Hunt</w:t>
      </w:r>
    </w:p>
    <w:p w:rsidR="00851126" w:rsidRDefault="00851126" w:rsidP="00851126">
      <w:pPr>
        <w:pStyle w:val="Paragraphedeliste"/>
        <w:numPr>
          <w:ilvl w:val="0"/>
          <w:numId w:val="2"/>
        </w:numPr>
      </w:pPr>
      <w:r>
        <w:t>hyperacousie douloureuse</w:t>
      </w:r>
    </w:p>
    <w:p w:rsidR="00851126" w:rsidRDefault="00851126" w:rsidP="00851126">
      <w:pPr>
        <w:pStyle w:val="Paragraphedeliste"/>
        <w:numPr>
          <w:ilvl w:val="0"/>
          <w:numId w:val="2"/>
        </w:numPr>
      </w:pPr>
      <w:r>
        <w:t>↘ des sécrétions lacrymales et salivaires</w:t>
      </w:r>
    </w:p>
    <w:p w:rsidR="00931C62" w:rsidRDefault="00931C62" w:rsidP="00931C62">
      <w:r w:rsidRPr="00EA0439">
        <w:rPr>
          <w:b/>
          <w:bCs/>
          <w:color w:val="FF0000"/>
        </w:rPr>
        <w:t>Diagnostic différentiel</w:t>
      </w:r>
      <w:r>
        <w:t xml:space="preserve"> : </w:t>
      </w:r>
      <w:r w:rsidRPr="00EA0439">
        <w:rPr>
          <w:highlight w:val="yellow"/>
        </w:rPr>
        <w:t>paralysie faciale centrale</w:t>
      </w:r>
    </w:p>
    <w:p w:rsidR="00931C62" w:rsidRDefault="00931C62" w:rsidP="00931C62">
      <w:pPr>
        <w:pStyle w:val="Paragraphedeliste"/>
        <w:numPr>
          <w:ilvl w:val="0"/>
          <w:numId w:val="1"/>
        </w:numPr>
      </w:pPr>
      <w:r>
        <w:t>respecte le territoire sup</w:t>
      </w:r>
    </w:p>
    <w:p w:rsidR="00931C62" w:rsidRDefault="00931C62" w:rsidP="00931C62">
      <w:pPr>
        <w:pStyle w:val="Paragraphedeliste"/>
        <w:numPr>
          <w:ilvl w:val="0"/>
          <w:numId w:val="1"/>
        </w:numPr>
      </w:pPr>
      <w:r>
        <w:t>les signes prédominent sur le territoire facial inf du coté opposé à la lésion centrale</w:t>
      </w:r>
    </w:p>
    <w:p w:rsidR="00931C62" w:rsidRDefault="00931C62" w:rsidP="00931C62">
      <w:pPr>
        <w:pStyle w:val="Paragraphedeliste"/>
        <w:numPr>
          <w:ilvl w:val="0"/>
          <w:numId w:val="1"/>
        </w:numPr>
      </w:pPr>
      <w:r>
        <w:t>signes neurologiques : hémiplégie</w:t>
      </w:r>
    </w:p>
    <w:p w:rsidR="00931C62" w:rsidRDefault="00931C62" w:rsidP="00931C62">
      <w:pPr>
        <w:pStyle w:val="Paragraphedeliste"/>
        <w:numPr>
          <w:ilvl w:val="0"/>
          <w:numId w:val="1"/>
        </w:numPr>
      </w:pPr>
      <w:r>
        <w:t>absence du signe de Charles Bell</w:t>
      </w:r>
    </w:p>
    <w:p w:rsidR="007A7580" w:rsidRDefault="007A7580" w:rsidP="007A7580">
      <w:r w:rsidRPr="00EA0439">
        <w:rPr>
          <w:b/>
          <w:bCs/>
          <w:color w:val="FF0000"/>
        </w:rPr>
        <w:t>Bilan topographique</w:t>
      </w:r>
      <w:r>
        <w:t xml:space="preserve"> : </w:t>
      </w:r>
    </w:p>
    <w:p w:rsidR="007A7580" w:rsidRDefault="007A7580" w:rsidP="00501C9B">
      <w:pPr>
        <w:pStyle w:val="Paragraphedeliste"/>
        <w:numPr>
          <w:ilvl w:val="0"/>
          <w:numId w:val="1"/>
        </w:numPr>
      </w:pPr>
      <w:r w:rsidRPr="00501C9B">
        <w:rPr>
          <w:b/>
          <w:bCs/>
        </w:rPr>
        <w:t xml:space="preserve">test lacrymal de </w:t>
      </w:r>
      <w:proofErr w:type="spellStart"/>
      <w:r w:rsidRPr="00501C9B">
        <w:rPr>
          <w:b/>
          <w:bCs/>
        </w:rPr>
        <w:t>Schirmer</w:t>
      </w:r>
      <w:proofErr w:type="spellEnd"/>
      <w:r>
        <w:t xml:space="preserve"> : ↘ de la sécrétion réflexe &lt; 30% par rapport au coté sain =&gt; lésion située en amont de la portion du </w:t>
      </w:r>
      <w:proofErr w:type="spellStart"/>
      <w:r>
        <w:t>ggl</w:t>
      </w:r>
      <w:proofErr w:type="spellEnd"/>
      <w:r>
        <w:t xml:space="preserve"> géniculé</w:t>
      </w:r>
    </w:p>
    <w:p w:rsidR="007A7580" w:rsidRDefault="007A7580" w:rsidP="007A7580">
      <w:pPr>
        <w:pStyle w:val="Paragraphedeliste"/>
        <w:numPr>
          <w:ilvl w:val="0"/>
          <w:numId w:val="1"/>
        </w:numPr>
      </w:pPr>
      <w:r w:rsidRPr="00501C9B">
        <w:rPr>
          <w:b/>
          <w:bCs/>
        </w:rPr>
        <w:t>la disparition du réflexe stapedien</w:t>
      </w:r>
      <w:r>
        <w:t> =&gt; lésion au dessus de la nais</w:t>
      </w:r>
      <w:r w:rsidR="00501C9B">
        <w:t>sance du nerf du muscle de l’étrier</w:t>
      </w:r>
    </w:p>
    <w:p w:rsidR="00501C9B" w:rsidRDefault="00501C9B" w:rsidP="00501C9B">
      <w:pPr>
        <w:pStyle w:val="Paragraphedeliste"/>
        <w:numPr>
          <w:ilvl w:val="0"/>
          <w:numId w:val="1"/>
        </w:numPr>
      </w:pPr>
      <w:r w:rsidRPr="00501C9B">
        <w:rPr>
          <w:b/>
          <w:bCs/>
        </w:rPr>
        <w:lastRenderedPageBreak/>
        <w:t xml:space="preserve">la mesure de la sécrétion salivaire (test de </w:t>
      </w:r>
      <w:proofErr w:type="spellStart"/>
      <w:r w:rsidRPr="00501C9B">
        <w:rPr>
          <w:b/>
          <w:bCs/>
        </w:rPr>
        <w:t>Blatt</w:t>
      </w:r>
      <w:proofErr w:type="spellEnd"/>
      <w:r>
        <w:t>) : ↘ &lt;25% par rapport au coté sain =&gt; lésion située au dessus de l’émergence de la corde du tympan</w:t>
      </w:r>
    </w:p>
    <w:p w:rsidR="00501C9B" w:rsidRDefault="00501C9B" w:rsidP="00501C9B">
      <w:pPr>
        <w:pStyle w:val="Paragraphedeliste"/>
        <w:numPr>
          <w:ilvl w:val="0"/>
          <w:numId w:val="1"/>
        </w:numPr>
      </w:pPr>
      <w:r w:rsidRPr="00501C9B">
        <w:rPr>
          <w:b/>
          <w:bCs/>
        </w:rPr>
        <w:t>électro-gustométrie</w:t>
      </w:r>
      <w:r>
        <w:t> : ↗ &gt; 50% par rapport au coté sain =&gt; lésion située au dessus de l’émergence de la corde du tympan</w:t>
      </w:r>
    </w:p>
    <w:p w:rsidR="00501C9B" w:rsidRDefault="00501C9B" w:rsidP="00501C9B">
      <w:pPr>
        <w:pStyle w:val="Paragraphedeliste"/>
        <w:numPr>
          <w:ilvl w:val="0"/>
          <w:numId w:val="1"/>
        </w:numPr>
      </w:pPr>
      <w:r w:rsidRPr="00EA0439">
        <w:rPr>
          <w:b/>
          <w:bCs/>
        </w:rPr>
        <w:t>EMG </w:t>
      </w:r>
      <w:r>
        <w:t xml:space="preserve">: les signes sont tardifs </w:t>
      </w:r>
      <w:r w:rsidR="00EA0439">
        <w:t>2-3 semaines</w:t>
      </w:r>
    </w:p>
    <w:p w:rsidR="000A6872" w:rsidRPr="00EA0439" w:rsidRDefault="000A6872" w:rsidP="000A6872">
      <w:pPr>
        <w:rPr>
          <w:b/>
          <w:bCs/>
          <w:color w:val="FF0000"/>
        </w:rPr>
      </w:pPr>
      <w:r w:rsidRPr="00EA0439">
        <w:rPr>
          <w:b/>
          <w:bCs/>
          <w:color w:val="FF0000"/>
        </w:rPr>
        <w:t xml:space="preserve">Diagnostic étiologique : </w:t>
      </w:r>
    </w:p>
    <w:p w:rsidR="00BB7584" w:rsidRDefault="00BB7584" w:rsidP="00BB7584">
      <w:pPr>
        <w:pStyle w:val="Paragraphedeliste"/>
        <w:numPr>
          <w:ilvl w:val="0"/>
          <w:numId w:val="1"/>
        </w:numPr>
      </w:pPr>
      <w:r w:rsidRPr="007F2589">
        <w:rPr>
          <w:b/>
          <w:bCs/>
          <w:highlight w:val="yellow"/>
        </w:rPr>
        <w:t xml:space="preserve">PF à </w:t>
      </w:r>
      <w:proofErr w:type="spellStart"/>
      <w:r w:rsidRPr="007F2589">
        <w:rPr>
          <w:b/>
          <w:bCs/>
          <w:highlight w:val="yellow"/>
        </w:rPr>
        <w:t>frigore</w:t>
      </w:r>
      <w:proofErr w:type="spellEnd"/>
      <w:r w:rsidRPr="00EA0439">
        <w:rPr>
          <w:highlight w:val="yellow"/>
        </w:rPr>
        <w:t xml:space="preserve"> = maladie de Bell : 50% des PF</w:t>
      </w:r>
    </w:p>
    <w:p w:rsidR="00BB7584" w:rsidRDefault="00BB7584" w:rsidP="00BB7584">
      <w:pPr>
        <w:pStyle w:val="Paragraphedeliste"/>
        <w:numPr>
          <w:ilvl w:val="0"/>
          <w:numId w:val="2"/>
        </w:numPr>
      </w:pPr>
      <w:r>
        <w:t xml:space="preserve">idiopathique, neuropathie </w:t>
      </w:r>
      <w:proofErr w:type="spellStart"/>
      <w:r>
        <w:t>oedémateuse</w:t>
      </w:r>
      <w:proofErr w:type="spellEnd"/>
      <w:r>
        <w:t xml:space="preserve"> de cause virale ou vasculaire </w:t>
      </w:r>
    </w:p>
    <w:p w:rsidR="000A6872" w:rsidRPr="00EA0439" w:rsidRDefault="000A6872" w:rsidP="000A6872">
      <w:pPr>
        <w:pStyle w:val="Paragraphedeliste"/>
        <w:numPr>
          <w:ilvl w:val="0"/>
          <w:numId w:val="1"/>
        </w:numPr>
        <w:rPr>
          <w:b/>
          <w:bCs/>
        </w:rPr>
      </w:pPr>
      <w:r w:rsidRPr="00EA0439">
        <w:rPr>
          <w:b/>
          <w:bCs/>
        </w:rPr>
        <w:t>traumatismes</w:t>
      </w:r>
    </w:p>
    <w:p w:rsidR="000A6872" w:rsidRPr="00EA0439" w:rsidRDefault="000A6872" w:rsidP="000A6872">
      <w:pPr>
        <w:pStyle w:val="Paragraphedeliste"/>
        <w:numPr>
          <w:ilvl w:val="0"/>
          <w:numId w:val="1"/>
        </w:numPr>
        <w:rPr>
          <w:b/>
          <w:bCs/>
        </w:rPr>
      </w:pPr>
      <w:r w:rsidRPr="00EA0439">
        <w:rPr>
          <w:b/>
          <w:bCs/>
        </w:rPr>
        <w:t xml:space="preserve">infections : </w:t>
      </w:r>
    </w:p>
    <w:p w:rsidR="000A6872" w:rsidRDefault="000A6872" w:rsidP="000A6872">
      <w:pPr>
        <w:pStyle w:val="Paragraphedeliste"/>
        <w:numPr>
          <w:ilvl w:val="0"/>
          <w:numId w:val="2"/>
        </w:numPr>
      </w:pPr>
      <w:r>
        <w:t xml:space="preserve">otites, </w:t>
      </w:r>
    </w:p>
    <w:p w:rsidR="000A6872" w:rsidRDefault="000A6872" w:rsidP="000A6872">
      <w:pPr>
        <w:pStyle w:val="Paragraphedeliste"/>
        <w:numPr>
          <w:ilvl w:val="0"/>
          <w:numId w:val="2"/>
        </w:numPr>
      </w:pPr>
      <w:r>
        <w:t xml:space="preserve">zona </w:t>
      </w:r>
      <w:proofErr w:type="spellStart"/>
      <w:r>
        <w:t>otitique</w:t>
      </w:r>
      <w:proofErr w:type="spellEnd"/>
      <w:r>
        <w:t xml:space="preserve"> de Sicard : virales, zone du ganglion géniculé : la paralysie est précédée d’une éruption vésiculeuse au niveau de la zone de Ramsay-Hunt</w:t>
      </w:r>
    </w:p>
    <w:p w:rsidR="000A6872" w:rsidRDefault="000A6872" w:rsidP="000A6872">
      <w:pPr>
        <w:pStyle w:val="Paragraphedeliste"/>
        <w:numPr>
          <w:ilvl w:val="0"/>
          <w:numId w:val="2"/>
        </w:numPr>
      </w:pPr>
      <w:r>
        <w:t xml:space="preserve">maladie de </w:t>
      </w:r>
      <w:proofErr w:type="spellStart"/>
      <w:r>
        <w:t>Lyme</w:t>
      </w:r>
      <w:proofErr w:type="spellEnd"/>
      <w:r>
        <w:t xml:space="preserve"> : due à </w:t>
      </w:r>
      <w:proofErr w:type="spellStart"/>
      <w:r>
        <w:t>Borrelia</w:t>
      </w:r>
      <w:proofErr w:type="spellEnd"/>
      <w:r>
        <w:t>, transmis par les tiques</w:t>
      </w:r>
    </w:p>
    <w:p w:rsidR="000A6872" w:rsidRPr="00EA0439" w:rsidRDefault="000A6872" w:rsidP="000A6872">
      <w:pPr>
        <w:pStyle w:val="Paragraphedeliste"/>
        <w:numPr>
          <w:ilvl w:val="0"/>
          <w:numId w:val="1"/>
        </w:numPr>
        <w:rPr>
          <w:b/>
          <w:bCs/>
        </w:rPr>
      </w:pPr>
      <w:r w:rsidRPr="00EA0439">
        <w:rPr>
          <w:b/>
          <w:bCs/>
        </w:rPr>
        <w:t xml:space="preserve">tumeurs : </w:t>
      </w:r>
    </w:p>
    <w:p w:rsidR="000A6872" w:rsidRDefault="000A6872" w:rsidP="000A6872">
      <w:pPr>
        <w:pStyle w:val="Paragraphedeliste"/>
        <w:numPr>
          <w:ilvl w:val="0"/>
          <w:numId w:val="2"/>
        </w:numPr>
      </w:pPr>
      <w:r>
        <w:t>de l’angle ponto-cérébelleux</w:t>
      </w:r>
    </w:p>
    <w:p w:rsidR="000A6872" w:rsidRDefault="000A6872" w:rsidP="000A6872">
      <w:pPr>
        <w:pStyle w:val="Paragraphedeliste"/>
        <w:numPr>
          <w:ilvl w:val="0"/>
          <w:numId w:val="2"/>
        </w:numPr>
      </w:pPr>
      <w:r>
        <w:t>neurinome de l’acoustique</w:t>
      </w:r>
    </w:p>
    <w:p w:rsidR="000A6872" w:rsidRDefault="000A6872" w:rsidP="000A6872">
      <w:pPr>
        <w:pStyle w:val="Paragraphedeliste"/>
        <w:numPr>
          <w:ilvl w:val="0"/>
          <w:numId w:val="2"/>
        </w:numPr>
      </w:pPr>
      <w:r>
        <w:t>temporales</w:t>
      </w:r>
    </w:p>
    <w:p w:rsidR="000A6872" w:rsidRDefault="000A6872" w:rsidP="000A6872">
      <w:pPr>
        <w:pStyle w:val="Paragraphedeliste"/>
        <w:numPr>
          <w:ilvl w:val="0"/>
          <w:numId w:val="2"/>
        </w:numPr>
      </w:pPr>
      <w:r>
        <w:t>malignes de la parotide</w:t>
      </w:r>
    </w:p>
    <w:p w:rsidR="000A6872" w:rsidRPr="00EA0439" w:rsidRDefault="000A6872" w:rsidP="000A6872">
      <w:pPr>
        <w:pStyle w:val="Paragraphedeliste"/>
        <w:numPr>
          <w:ilvl w:val="0"/>
          <w:numId w:val="1"/>
        </w:numPr>
        <w:rPr>
          <w:b/>
          <w:bCs/>
        </w:rPr>
      </w:pPr>
      <w:r w:rsidRPr="00EA0439">
        <w:rPr>
          <w:b/>
          <w:bCs/>
        </w:rPr>
        <w:t>congénitales</w:t>
      </w:r>
      <w:r w:rsidR="00EA0439" w:rsidRPr="00EA0439">
        <w:rPr>
          <w:b/>
          <w:bCs/>
        </w:rPr>
        <w:t xml:space="preserve">, </w:t>
      </w:r>
      <w:r w:rsidRPr="00EA0439">
        <w:rPr>
          <w:b/>
          <w:bCs/>
        </w:rPr>
        <w:t>obstétricales</w:t>
      </w:r>
    </w:p>
    <w:p w:rsidR="000A6872" w:rsidRDefault="000A6872" w:rsidP="000A6872">
      <w:pPr>
        <w:pStyle w:val="Paragraphedeliste"/>
        <w:numPr>
          <w:ilvl w:val="0"/>
          <w:numId w:val="1"/>
        </w:numPr>
      </w:pPr>
      <w:r w:rsidRPr="00EA0439">
        <w:rPr>
          <w:b/>
          <w:bCs/>
        </w:rPr>
        <w:t>générales</w:t>
      </w:r>
      <w:r>
        <w:t xml:space="preserve"> : diabète, </w:t>
      </w:r>
      <w:r w:rsidR="00BB7584">
        <w:t xml:space="preserve">carence vitamine B1, </w:t>
      </w:r>
      <w:r>
        <w:t>sarcoïdose, sclérodermie</w:t>
      </w:r>
    </w:p>
    <w:p w:rsidR="000A6872" w:rsidRDefault="000A6872" w:rsidP="000A6872">
      <w:pPr>
        <w:pStyle w:val="Paragraphedeliste"/>
      </w:pPr>
    </w:p>
    <w:p w:rsidR="00501C9B" w:rsidRDefault="00501C9B" w:rsidP="00501C9B"/>
    <w:p w:rsidR="00BA76E8" w:rsidRDefault="00BA76E8" w:rsidP="00BA76E8">
      <w:pPr>
        <w:pStyle w:val="Paragraphedeliste"/>
      </w:pPr>
    </w:p>
    <w:sectPr w:rsidR="00BA76E8" w:rsidSect="00501C9B">
      <w:pgSz w:w="11906" w:h="16838"/>
      <w:pgMar w:top="709" w:right="849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2D03F0"/>
    <w:multiLevelType w:val="hybridMultilevel"/>
    <w:tmpl w:val="4C48BA02"/>
    <w:lvl w:ilvl="0" w:tplc="48E036A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E145C3"/>
    <w:multiLevelType w:val="hybridMultilevel"/>
    <w:tmpl w:val="4AD06ED0"/>
    <w:lvl w:ilvl="0" w:tplc="447EF1F0">
      <w:start w:val="2"/>
      <w:numFmt w:val="bullet"/>
      <w:lvlText w:val=""/>
      <w:lvlJc w:val="left"/>
      <w:pPr>
        <w:ind w:left="786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>
    <w:nsid w:val="59DC151C"/>
    <w:multiLevelType w:val="hybridMultilevel"/>
    <w:tmpl w:val="4DA073F0"/>
    <w:lvl w:ilvl="0" w:tplc="F9C6A2AC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A457E8E"/>
    <w:multiLevelType w:val="hybridMultilevel"/>
    <w:tmpl w:val="49F83FEA"/>
    <w:lvl w:ilvl="0" w:tplc="059A22B8">
      <w:start w:val="1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E2472A7"/>
    <w:multiLevelType w:val="hybridMultilevel"/>
    <w:tmpl w:val="9258A46E"/>
    <w:lvl w:ilvl="0" w:tplc="5F3039BE">
      <w:start w:val="5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0B5ED2"/>
    <w:rsid w:val="000A6872"/>
    <w:rsid w:val="000B5ED2"/>
    <w:rsid w:val="0017522C"/>
    <w:rsid w:val="002B0BDB"/>
    <w:rsid w:val="00414C85"/>
    <w:rsid w:val="00501C9B"/>
    <w:rsid w:val="007A7580"/>
    <w:rsid w:val="007F2589"/>
    <w:rsid w:val="00851126"/>
    <w:rsid w:val="008F3FDD"/>
    <w:rsid w:val="00931C62"/>
    <w:rsid w:val="00AC1FA6"/>
    <w:rsid w:val="00B12D43"/>
    <w:rsid w:val="00BA76E8"/>
    <w:rsid w:val="00BB7584"/>
    <w:rsid w:val="00C758BB"/>
    <w:rsid w:val="00C848F0"/>
    <w:rsid w:val="00EA0439"/>
    <w:rsid w:val="00F652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0B5ED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C0A335-9897-4333-BA2A-01425D882D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486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8</cp:revision>
  <dcterms:created xsi:type="dcterms:W3CDTF">2010-04-22T17:04:00Z</dcterms:created>
  <dcterms:modified xsi:type="dcterms:W3CDTF">2010-04-23T17:34:00Z</dcterms:modified>
</cp:coreProperties>
</file>