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0B4BD2" w:rsidRDefault="00E02EA5" w:rsidP="000B4BD2">
      <w:pPr>
        <w:jc w:val="center"/>
        <w:rPr>
          <w:b/>
          <w:bCs/>
          <w:color w:val="FF0000"/>
        </w:rPr>
      </w:pPr>
      <w:r w:rsidRPr="000B4BD2">
        <w:rPr>
          <w:b/>
          <w:bCs/>
          <w:color w:val="FF0000"/>
        </w:rPr>
        <w:t>Alvéolites allergiques extrinsèques AAE</w:t>
      </w:r>
    </w:p>
    <w:p w:rsidR="00E02EA5" w:rsidRDefault="00E02EA5" w:rsidP="00E02EA5">
      <w:pPr>
        <w:pStyle w:val="Paragraphedeliste"/>
        <w:numPr>
          <w:ilvl w:val="0"/>
          <w:numId w:val="1"/>
        </w:numPr>
      </w:pPr>
      <w:r>
        <w:t>manifestations parenchymateuses allergiques consécutives à l’inhalation de particules organiques ou chimiques =&gt; réaction d’hypersensibilité type III et une réaction type IV dans la forme chronique</w:t>
      </w:r>
    </w:p>
    <w:p w:rsidR="00E02EA5" w:rsidRPr="000B4BD2" w:rsidRDefault="00E02EA5" w:rsidP="00E02EA5">
      <w:pPr>
        <w:rPr>
          <w:b/>
          <w:bCs/>
          <w:color w:val="FF0000"/>
        </w:rPr>
      </w:pPr>
      <w:r w:rsidRPr="000B4BD2">
        <w:rPr>
          <w:b/>
          <w:bCs/>
          <w:color w:val="FF0000"/>
        </w:rPr>
        <w:t>Critères communs aux AAE :</w:t>
      </w:r>
    </w:p>
    <w:p w:rsidR="00780F2E" w:rsidRPr="000B4BD2" w:rsidRDefault="00780F2E" w:rsidP="00E02EA5">
      <w:pPr>
        <w:pStyle w:val="Paragraphedeliste"/>
        <w:numPr>
          <w:ilvl w:val="0"/>
          <w:numId w:val="1"/>
        </w:numPr>
        <w:rPr>
          <w:b/>
          <w:bCs/>
        </w:rPr>
      </w:pPr>
      <w:r w:rsidRPr="000B4BD2">
        <w:rPr>
          <w:b/>
          <w:bCs/>
        </w:rPr>
        <w:t>notion d’exposition à un Ag</w:t>
      </w:r>
    </w:p>
    <w:p w:rsidR="00E02EA5" w:rsidRPr="000B4BD2" w:rsidRDefault="00E02EA5" w:rsidP="00E02EA5">
      <w:pPr>
        <w:pStyle w:val="Paragraphedeliste"/>
        <w:numPr>
          <w:ilvl w:val="0"/>
          <w:numId w:val="1"/>
        </w:numPr>
        <w:rPr>
          <w:b/>
          <w:bCs/>
          <w:color w:val="002060"/>
        </w:rPr>
      </w:pPr>
      <w:r w:rsidRPr="000B4BD2">
        <w:rPr>
          <w:b/>
          <w:bCs/>
          <w:color w:val="002060"/>
        </w:rPr>
        <w:t xml:space="preserve">forme aigue : </w:t>
      </w:r>
    </w:p>
    <w:p w:rsidR="00E02EA5" w:rsidRDefault="00E02EA5" w:rsidP="00E02EA5">
      <w:pPr>
        <w:pStyle w:val="Paragraphedeliste"/>
        <w:numPr>
          <w:ilvl w:val="0"/>
          <w:numId w:val="2"/>
        </w:numPr>
      </w:pPr>
      <w:r>
        <w:t xml:space="preserve">hyperthermie, frissons, toux, dyspnée, râles crépitants inspiratoires aux bases </w:t>
      </w:r>
    </w:p>
    <w:p w:rsidR="00E02EA5" w:rsidRDefault="00E02EA5" w:rsidP="00E02EA5">
      <w:pPr>
        <w:pStyle w:val="Paragraphedeliste"/>
        <w:numPr>
          <w:ilvl w:val="0"/>
          <w:numId w:val="2"/>
        </w:numPr>
      </w:pPr>
      <w:r>
        <w:t>les symptômes débutent 3-8h après l’exposition et disparaissent dans les heures qui suivent</w:t>
      </w:r>
    </w:p>
    <w:p w:rsidR="00E02EA5" w:rsidRPr="000B4BD2" w:rsidRDefault="00E02EA5" w:rsidP="00E02EA5">
      <w:pPr>
        <w:pStyle w:val="Paragraphedeliste"/>
        <w:numPr>
          <w:ilvl w:val="0"/>
          <w:numId w:val="1"/>
        </w:numPr>
        <w:rPr>
          <w:b/>
          <w:bCs/>
          <w:color w:val="002060"/>
        </w:rPr>
      </w:pPr>
      <w:r w:rsidRPr="000B4BD2">
        <w:rPr>
          <w:b/>
          <w:bCs/>
          <w:color w:val="002060"/>
        </w:rPr>
        <w:t xml:space="preserve">forme subaiguë : </w:t>
      </w:r>
    </w:p>
    <w:p w:rsidR="00E02EA5" w:rsidRDefault="00E02EA5" w:rsidP="00E02EA5">
      <w:pPr>
        <w:pStyle w:val="Paragraphedeliste"/>
        <w:numPr>
          <w:ilvl w:val="0"/>
          <w:numId w:val="2"/>
        </w:numPr>
      </w:pPr>
      <w:r>
        <w:t>toux, dyspnée, râles crépitants inspiratoires aux bases (pas de fièvre ni frissons)</w:t>
      </w:r>
    </w:p>
    <w:p w:rsidR="00E02EA5" w:rsidRPr="000B4BD2" w:rsidRDefault="00E02EA5" w:rsidP="00E02EA5">
      <w:pPr>
        <w:pStyle w:val="Paragraphedeliste"/>
        <w:numPr>
          <w:ilvl w:val="0"/>
          <w:numId w:val="1"/>
        </w:numPr>
        <w:rPr>
          <w:color w:val="002060"/>
        </w:rPr>
      </w:pPr>
      <w:r w:rsidRPr="000B4BD2">
        <w:rPr>
          <w:b/>
          <w:bCs/>
          <w:color w:val="002060"/>
        </w:rPr>
        <w:t>forme chronique</w:t>
      </w:r>
      <w:r w:rsidRPr="000B4BD2">
        <w:rPr>
          <w:color w:val="002060"/>
        </w:rPr>
        <w:t> :</w:t>
      </w:r>
    </w:p>
    <w:p w:rsidR="00E02EA5" w:rsidRDefault="00E02EA5" w:rsidP="00E02EA5">
      <w:pPr>
        <w:pStyle w:val="Paragraphedeliste"/>
        <w:numPr>
          <w:ilvl w:val="0"/>
          <w:numId w:val="2"/>
        </w:numPr>
      </w:pPr>
      <w:r w:rsidRPr="008758A0">
        <w:rPr>
          <w:highlight w:val="yellow"/>
        </w:rPr>
        <w:t>séquelles pulmonaires permanentes</w:t>
      </w:r>
      <w:r>
        <w:t>, râles crépitants, hippocratisme digital</w:t>
      </w:r>
    </w:p>
    <w:p w:rsidR="00780F2E" w:rsidRPr="000B4BD2" w:rsidRDefault="00E02EA5" w:rsidP="00E02EA5">
      <w:pPr>
        <w:pStyle w:val="Paragraphedeliste"/>
        <w:numPr>
          <w:ilvl w:val="0"/>
          <w:numId w:val="1"/>
        </w:numPr>
        <w:rPr>
          <w:b/>
          <w:bCs/>
        </w:rPr>
      </w:pPr>
      <w:r w:rsidRPr="000B4BD2">
        <w:rPr>
          <w:b/>
          <w:bCs/>
        </w:rPr>
        <w:t xml:space="preserve">radio : </w:t>
      </w:r>
    </w:p>
    <w:p w:rsidR="00E02EA5" w:rsidRDefault="00780F2E" w:rsidP="00780F2E">
      <w:pPr>
        <w:pStyle w:val="Paragraphedeliste"/>
        <w:numPr>
          <w:ilvl w:val="0"/>
          <w:numId w:val="2"/>
        </w:numPr>
      </w:pPr>
      <w:r>
        <w:t xml:space="preserve">forme aigue : </w:t>
      </w:r>
      <w:r w:rsidR="00E02EA5">
        <w:t>infiltration interstitielle diffuse</w:t>
      </w:r>
    </w:p>
    <w:p w:rsidR="00780F2E" w:rsidRDefault="00780F2E" w:rsidP="00780F2E">
      <w:pPr>
        <w:pStyle w:val="Paragraphedeliste"/>
        <w:numPr>
          <w:ilvl w:val="0"/>
          <w:numId w:val="2"/>
        </w:numPr>
      </w:pPr>
      <w:r>
        <w:t>forme chronique : emphysème</w:t>
      </w:r>
    </w:p>
    <w:p w:rsidR="00E02EA5" w:rsidRDefault="00E02EA5" w:rsidP="00E02EA5">
      <w:pPr>
        <w:pStyle w:val="Paragraphedeliste"/>
        <w:numPr>
          <w:ilvl w:val="0"/>
          <w:numId w:val="1"/>
        </w:numPr>
      </w:pPr>
      <w:r w:rsidRPr="00062714">
        <w:rPr>
          <w:b/>
          <w:bCs/>
        </w:rPr>
        <w:t>TDM</w:t>
      </w:r>
      <w:r>
        <w:t> : révèle l’étendue des séquelles pulmonaires</w:t>
      </w:r>
    </w:p>
    <w:p w:rsidR="00780F2E" w:rsidRDefault="00780F2E" w:rsidP="00E02EA5">
      <w:pPr>
        <w:pStyle w:val="Paragraphedeliste"/>
        <w:numPr>
          <w:ilvl w:val="0"/>
          <w:numId w:val="1"/>
        </w:numPr>
      </w:pPr>
      <w:r w:rsidRPr="00062714">
        <w:rPr>
          <w:b/>
          <w:bCs/>
        </w:rPr>
        <w:t>spiromètre :</w:t>
      </w:r>
      <w:r>
        <w:t xml:space="preserve"> Sd restrictif</w:t>
      </w:r>
    </w:p>
    <w:p w:rsidR="00780F2E" w:rsidRPr="00062714" w:rsidRDefault="00780F2E" w:rsidP="00E02EA5">
      <w:pPr>
        <w:pStyle w:val="Paragraphedeliste"/>
        <w:numPr>
          <w:ilvl w:val="0"/>
          <w:numId w:val="1"/>
        </w:numPr>
        <w:rPr>
          <w:b/>
          <w:bCs/>
        </w:rPr>
      </w:pPr>
      <w:r w:rsidRPr="00062714">
        <w:rPr>
          <w:b/>
          <w:bCs/>
        </w:rPr>
        <w:t>↘ de la diffusion du CO</w:t>
      </w:r>
    </w:p>
    <w:p w:rsidR="00780F2E" w:rsidRDefault="00780F2E" w:rsidP="00E02EA5">
      <w:pPr>
        <w:pStyle w:val="Paragraphedeliste"/>
        <w:numPr>
          <w:ilvl w:val="0"/>
          <w:numId w:val="1"/>
        </w:numPr>
      </w:pPr>
      <w:r w:rsidRPr="00062714">
        <w:rPr>
          <w:b/>
          <w:bCs/>
        </w:rPr>
        <w:t>gazo</w:t>
      </w:r>
      <w:r>
        <w:t> : hypoxémie, hypocapnie</w:t>
      </w:r>
    </w:p>
    <w:p w:rsidR="00780F2E" w:rsidRDefault="00780F2E" w:rsidP="00E02EA5">
      <w:pPr>
        <w:pStyle w:val="Paragraphedeliste"/>
        <w:numPr>
          <w:ilvl w:val="0"/>
          <w:numId w:val="1"/>
        </w:numPr>
      </w:pPr>
      <w:r w:rsidRPr="008758A0">
        <w:rPr>
          <w:b/>
          <w:bCs/>
          <w:highlight w:val="yellow"/>
        </w:rPr>
        <w:t>critères du LBA</w:t>
      </w:r>
      <w:r>
        <w:t xml:space="preserve"> (lavage broncho-alvéolaire) : ↗PNN, lymphocytes, mastocytes</w:t>
      </w:r>
    </w:p>
    <w:p w:rsidR="00780F2E" w:rsidRDefault="00780F2E" w:rsidP="00E02EA5">
      <w:pPr>
        <w:pStyle w:val="Paragraphedeliste"/>
        <w:numPr>
          <w:ilvl w:val="0"/>
          <w:numId w:val="1"/>
        </w:numPr>
      </w:pPr>
      <w:r w:rsidRPr="00062714">
        <w:rPr>
          <w:b/>
          <w:bCs/>
        </w:rPr>
        <w:t>sérologie </w:t>
      </w:r>
      <w:r>
        <w:t>: présence de précipitines contre l’agent causal</w:t>
      </w:r>
    </w:p>
    <w:p w:rsidR="00780F2E" w:rsidRPr="00062714" w:rsidRDefault="00780F2E" w:rsidP="00E02EA5">
      <w:pPr>
        <w:pStyle w:val="Paragraphedeliste"/>
        <w:numPr>
          <w:ilvl w:val="0"/>
          <w:numId w:val="1"/>
        </w:numPr>
        <w:rPr>
          <w:b/>
          <w:bCs/>
        </w:rPr>
      </w:pPr>
      <w:r w:rsidRPr="00062714">
        <w:rPr>
          <w:b/>
          <w:bCs/>
        </w:rPr>
        <w:t xml:space="preserve">tests cutanés allergiques </w:t>
      </w:r>
    </w:p>
    <w:p w:rsidR="00780F2E" w:rsidRDefault="00780F2E" w:rsidP="00E02EA5">
      <w:pPr>
        <w:pStyle w:val="Paragraphedeliste"/>
        <w:numPr>
          <w:ilvl w:val="0"/>
          <w:numId w:val="1"/>
        </w:numPr>
      </w:pPr>
      <w:r w:rsidRPr="00062714">
        <w:rPr>
          <w:b/>
          <w:bCs/>
        </w:rPr>
        <w:t>anapath :</w:t>
      </w:r>
      <w:r>
        <w:t xml:space="preserve"> atteinte alvéolaire exsudative et inflammatoire + granulomatose interstitielle pseudo- tuberculoïde + </w:t>
      </w:r>
      <w:r w:rsidRPr="008758A0">
        <w:rPr>
          <w:highlight w:val="yellow"/>
        </w:rPr>
        <w:t>fibrose précoce</w:t>
      </w:r>
    </w:p>
    <w:p w:rsidR="00780F2E" w:rsidRDefault="00780F2E" w:rsidP="00E02EA5">
      <w:pPr>
        <w:pStyle w:val="Paragraphedeliste"/>
        <w:numPr>
          <w:ilvl w:val="0"/>
          <w:numId w:val="1"/>
        </w:numPr>
      </w:pPr>
      <w:r w:rsidRPr="00062714">
        <w:rPr>
          <w:b/>
          <w:bCs/>
        </w:rPr>
        <w:t>critères évolutifs</w:t>
      </w:r>
      <w:r>
        <w:t> : il faut que les manifestations clinques et biologiques</w:t>
      </w:r>
    </w:p>
    <w:p w:rsidR="00780F2E" w:rsidRDefault="00780F2E" w:rsidP="00780F2E">
      <w:pPr>
        <w:pStyle w:val="Paragraphedeliste"/>
        <w:numPr>
          <w:ilvl w:val="0"/>
          <w:numId w:val="2"/>
        </w:numPr>
      </w:pPr>
      <w:r>
        <w:t>se produisent à l’occasion du travail</w:t>
      </w:r>
    </w:p>
    <w:p w:rsidR="00780F2E" w:rsidRDefault="00780F2E" w:rsidP="00780F2E">
      <w:pPr>
        <w:pStyle w:val="Paragraphedeliste"/>
        <w:numPr>
          <w:ilvl w:val="0"/>
          <w:numId w:val="2"/>
        </w:numPr>
      </w:pPr>
      <w:r>
        <w:t>cessent ou régressent à l’arrêt du travail</w:t>
      </w:r>
    </w:p>
    <w:p w:rsidR="00D72017" w:rsidRPr="00062714" w:rsidRDefault="00D72017" w:rsidP="00D72017">
      <w:pPr>
        <w:rPr>
          <w:b/>
          <w:bCs/>
          <w:color w:val="FF0000"/>
        </w:rPr>
      </w:pPr>
      <w:r w:rsidRPr="00062714">
        <w:rPr>
          <w:b/>
          <w:bCs/>
          <w:color w:val="FF0000"/>
        </w:rPr>
        <w:t>Quelques contextes cliniques d’AAE et des agents causals</w:t>
      </w:r>
    </w:p>
    <w:p w:rsidR="00EE11EB" w:rsidRDefault="00EE11EB" w:rsidP="00EE11EB">
      <w:pPr>
        <w:pStyle w:val="Paragraphedeliste"/>
        <w:numPr>
          <w:ilvl w:val="0"/>
          <w:numId w:val="1"/>
        </w:numPr>
      </w:pPr>
      <w:r>
        <w:t xml:space="preserve">poumon du meunier (charançon du blé) =&gt; </w:t>
      </w:r>
      <w:proofErr w:type="spellStart"/>
      <w:r>
        <w:t>sitophilus</w:t>
      </w:r>
      <w:proofErr w:type="spellEnd"/>
      <w:r>
        <w:t xml:space="preserve"> </w:t>
      </w:r>
      <w:proofErr w:type="spellStart"/>
      <w:r>
        <w:t>granarius</w:t>
      </w:r>
      <w:proofErr w:type="spellEnd"/>
    </w:p>
    <w:p w:rsidR="00D72017" w:rsidRDefault="00D72017" w:rsidP="00D72017">
      <w:pPr>
        <w:pStyle w:val="Paragraphedeliste"/>
        <w:numPr>
          <w:ilvl w:val="0"/>
          <w:numId w:val="1"/>
        </w:numPr>
      </w:pPr>
      <w:r>
        <w:t>poumon du fermier (foin moisi) =&gt; actinomycètes, aspergillus</w:t>
      </w:r>
    </w:p>
    <w:p w:rsidR="00D72017" w:rsidRDefault="00D72017" w:rsidP="00D72017">
      <w:pPr>
        <w:pStyle w:val="Paragraphedeliste"/>
        <w:numPr>
          <w:ilvl w:val="0"/>
          <w:numId w:val="1"/>
        </w:numPr>
      </w:pPr>
      <w:r>
        <w:t xml:space="preserve">maladie des tailleurs de bois (éclats de bois contaminés) =&gt; </w:t>
      </w:r>
      <w:proofErr w:type="spellStart"/>
      <w:r>
        <w:t>rhizopus</w:t>
      </w:r>
      <w:proofErr w:type="spellEnd"/>
      <w:r>
        <w:t>, mucor</w:t>
      </w:r>
    </w:p>
    <w:p w:rsidR="00D72017" w:rsidRDefault="00D72017" w:rsidP="00D72017">
      <w:pPr>
        <w:pStyle w:val="Paragraphedeliste"/>
        <w:numPr>
          <w:ilvl w:val="0"/>
          <w:numId w:val="1"/>
        </w:numPr>
      </w:pPr>
      <w:r>
        <w:t>maladie des laveurs de fromage (bac à fromage) =&gt; penicillium</w:t>
      </w:r>
    </w:p>
    <w:p w:rsidR="00D72017" w:rsidRDefault="00D72017" w:rsidP="00D72017">
      <w:pPr>
        <w:pStyle w:val="Paragraphedeliste"/>
        <w:numPr>
          <w:ilvl w:val="0"/>
          <w:numId w:val="1"/>
        </w:numPr>
      </w:pPr>
      <w:r>
        <w:t>maladie des éleveurs de pigeon (fientes de pigeons) =&gt; sérum des pigeons</w:t>
      </w:r>
    </w:p>
    <w:p w:rsidR="00D72017" w:rsidRDefault="00D72017" w:rsidP="00D72017">
      <w:pPr>
        <w:pStyle w:val="Paragraphedeliste"/>
        <w:numPr>
          <w:ilvl w:val="0"/>
          <w:numId w:val="1"/>
        </w:numPr>
      </w:pPr>
      <w:r>
        <w:t>pneumopathies d’hypersensibilité des laborantins (fourrure de rat) =&gt; urines de rats</w:t>
      </w:r>
    </w:p>
    <w:p w:rsidR="00D72017" w:rsidRDefault="00D72017" w:rsidP="00D72017">
      <w:pPr>
        <w:pStyle w:val="Paragraphedeliste"/>
        <w:numPr>
          <w:ilvl w:val="0"/>
          <w:numId w:val="1"/>
        </w:numPr>
      </w:pPr>
      <w:r>
        <w:t>pneumopathies d’hypersensibilité au TDI (di-isocyanate de toluène) =&gt; protéines dénaturées</w:t>
      </w:r>
    </w:p>
    <w:p w:rsidR="00EE11EB" w:rsidRDefault="00EE11EB" w:rsidP="00D72017">
      <w:pPr>
        <w:pStyle w:val="Paragraphedeliste"/>
        <w:numPr>
          <w:ilvl w:val="0"/>
          <w:numId w:val="1"/>
        </w:numPr>
      </w:pPr>
      <w:proofErr w:type="spellStart"/>
      <w:r>
        <w:t>Bagassose</w:t>
      </w:r>
      <w:proofErr w:type="spellEnd"/>
      <w:r>
        <w:t xml:space="preserve"> : cane à sucre </w:t>
      </w:r>
    </w:p>
    <w:p w:rsidR="00EE11EB" w:rsidRDefault="00EE11EB" w:rsidP="00D72017">
      <w:pPr>
        <w:pStyle w:val="Paragraphedeliste"/>
        <w:numPr>
          <w:ilvl w:val="0"/>
          <w:numId w:val="1"/>
        </w:numPr>
      </w:pPr>
      <w:r>
        <w:t>Byssinose : chanvre</w:t>
      </w:r>
    </w:p>
    <w:p w:rsidR="00EE11EB" w:rsidRDefault="00EE11EB" w:rsidP="00D72017">
      <w:pPr>
        <w:pStyle w:val="Paragraphedeliste"/>
        <w:numPr>
          <w:ilvl w:val="0"/>
          <w:numId w:val="1"/>
        </w:numPr>
      </w:pPr>
      <w:proofErr w:type="spellStart"/>
      <w:r>
        <w:t>Suberose</w:t>
      </w:r>
      <w:proofErr w:type="spellEnd"/>
      <w:r>
        <w:t> : liège</w:t>
      </w:r>
    </w:p>
    <w:p w:rsidR="00D72017" w:rsidRDefault="00D72017" w:rsidP="00D72017">
      <w:r w:rsidRPr="00062714">
        <w:rPr>
          <w:b/>
          <w:bCs/>
          <w:color w:val="FF0000"/>
        </w:rPr>
        <w:t>TRT</w:t>
      </w:r>
      <w:r>
        <w:t> : éviction + CTC 1mg/kg/j jusqu’à disparition des signes cliniques et radiologiques</w:t>
      </w:r>
    </w:p>
    <w:p w:rsidR="00D72017" w:rsidRDefault="00D72017" w:rsidP="00D72017">
      <w:r w:rsidRPr="00062714">
        <w:rPr>
          <w:b/>
          <w:bCs/>
          <w:color w:val="FF0000"/>
        </w:rPr>
        <w:t>Réparation </w:t>
      </w:r>
      <w:r w:rsidRPr="00062714">
        <w:rPr>
          <w:highlight w:val="yellow"/>
        </w:rPr>
        <w:t>: tableau 65</w:t>
      </w:r>
      <w:r>
        <w:t xml:space="preserve"> (la liste des travaux est limitative)</w:t>
      </w:r>
    </w:p>
    <w:p w:rsidR="00D72017" w:rsidRDefault="008758A0" w:rsidP="00D72017">
      <w:pPr>
        <w:pStyle w:val="Paragraphedeliste"/>
        <w:numPr>
          <w:ilvl w:val="0"/>
          <w:numId w:val="1"/>
        </w:numPr>
      </w:pPr>
      <w:r>
        <w:t xml:space="preserve">délai </w:t>
      </w:r>
      <w:r w:rsidR="00D72017">
        <w:t>PEC 1mois pour la forme aigue</w:t>
      </w:r>
    </w:p>
    <w:p w:rsidR="00D72017" w:rsidRDefault="008758A0" w:rsidP="00D72017">
      <w:pPr>
        <w:pStyle w:val="Paragraphedeliste"/>
        <w:numPr>
          <w:ilvl w:val="0"/>
          <w:numId w:val="1"/>
        </w:numPr>
      </w:pPr>
      <w:r>
        <w:t xml:space="preserve">délai </w:t>
      </w:r>
      <w:r w:rsidR="00D72017">
        <w:t>PEC 1 an pour la fibrose</w:t>
      </w:r>
    </w:p>
    <w:p w:rsidR="00D72017" w:rsidRDefault="008758A0" w:rsidP="00D72017">
      <w:pPr>
        <w:pStyle w:val="Paragraphedeliste"/>
        <w:numPr>
          <w:ilvl w:val="0"/>
          <w:numId w:val="1"/>
        </w:numPr>
      </w:pPr>
      <w:r>
        <w:t xml:space="preserve">délai </w:t>
      </w:r>
      <w:r w:rsidR="00D72017">
        <w:t xml:space="preserve">PEC 10 ans pour les complications </w:t>
      </w:r>
    </w:p>
    <w:sectPr w:rsidR="00D72017" w:rsidSect="00EE11EB">
      <w:pgSz w:w="11906" w:h="16838"/>
      <w:pgMar w:top="709" w:right="991" w:bottom="56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71D49"/>
    <w:multiLevelType w:val="hybridMultilevel"/>
    <w:tmpl w:val="8D8E1030"/>
    <w:lvl w:ilvl="0" w:tplc="7090CB02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4DA7258"/>
    <w:multiLevelType w:val="hybridMultilevel"/>
    <w:tmpl w:val="5A5E46EA"/>
    <w:lvl w:ilvl="0" w:tplc="AA8EB8B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02EA5"/>
    <w:rsid w:val="00062714"/>
    <w:rsid w:val="000B4BD2"/>
    <w:rsid w:val="004A4091"/>
    <w:rsid w:val="004E14DB"/>
    <w:rsid w:val="00780F2E"/>
    <w:rsid w:val="008758A0"/>
    <w:rsid w:val="00AC1FA6"/>
    <w:rsid w:val="00C758BB"/>
    <w:rsid w:val="00D72017"/>
    <w:rsid w:val="00E02EA5"/>
    <w:rsid w:val="00EE11EB"/>
    <w:rsid w:val="00F43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02E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342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4</cp:revision>
  <dcterms:created xsi:type="dcterms:W3CDTF">2010-04-27T10:02:00Z</dcterms:created>
  <dcterms:modified xsi:type="dcterms:W3CDTF">2010-04-28T08:56:00Z</dcterms:modified>
</cp:coreProperties>
</file>