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D91BD6" w:rsidRDefault="003B4DE9" w:rsidP="00D91BD6">
      <w:pPr>
        <w:jc w:val="center"/>
        <w:rPr>
          <w:b/>
          <w:bCs/>
          <w:color w:val="FF0000"/>
        </w:rPr>
      </w:pPr>
      <w:r w:rsidRPr="00D91BD6">
        <w:rPr>
          <w:b/>
          <w:bCs/>
          <w:color w:val="FF0000"/>
        </w:rPr>
        <w:t>Asthme professionnel</w:t>
      </w:r>
    </w:p>
    <w:p w:rsidR="00C97487" w:rsidRDefault="00C97487" w:rsidP="00C97487">
      <w:r w:rsidRPr="006464D7">
        <w:rPr>
          <w:highlight w:val="yellow"/>
        </w:rPr>
        <w:t>Asthme</w:t>
      </w:r>
      <w:r>
        <w:t xml:space="preserve"> = troubles ventilatoires obstructifs </w:t>
      </w:r>
      <w:r w:rsidRPr="006464D7">
        <w:rPr>
          <w:highlight w:val="yellow"/>
        </w:rPr>
        <w:t>+</w:t>
      </w:r>
      <w:r>
        <w:t xml:space="preserve"> hyper réactivité bronchique (broncho-constriction) </w:t>
      </w:r>
      <w:r w:rsidRPr="006464D7">
        <w:rPr>
          <w:highlight w:val="yellow"/>
        </w:rPr>
        <w:t>+</w:t>
      </w:r>
      <w:r>
        <w:t xml:space="preserve"> réversibilité sous bronchodilatateurs </w:t>
      </w:r>
      <w:r w:rsidRPr="00C97487">
        <w:rPr>
          <w:highlight w:val="yellow"/>
        </w:rPr>
        <w:t>+</w:t>
      </w:r>
      <w:r>
        <w:t xml:space="preserve"> notion d’exposition à un agent présent en milieu professionnel</w:t>
      </w:r>
    </w:p>
    <w:p w:rsidR="003B4DE9" w:rsidRDefault="00C97487">
      <w:r w:rsidRPr="00D91BD6">
        <w:rPr>
          <w:b/>
          <w:bCs/>
          <w:color w:val="FF0000"/>
        </w:rPr>
        <w:t>Prévalence :</w:t>
      </w:r>
      <w:r>
        <w:t xml:space="preserve"> 2-3% en Algérie dont 10% ont une étiologie professionnelle</w:t>
      </w:r>
    </w:p>
    <w:p w:rsidR="00C97487" w:rsidRDefault="00C97487" w:rsidP="00C97487">
      <w:r w:rsidRPr="00D91BD6">
        <w:rPr>
          <w:b/>
          <w:bCs/>
          <w:color w:val="FF0000"/>
        </w:rPr>
        <w:t>Professions à risque</w:t>
      </w:r>
      <w:r>
        <w:t> : détergents++, industrie du bois, de la farine, iso cyanate</w:t>
      </w:r>
    </w:p>
    <w:p w:rsidR="00C97487" w:rsidRPr="00D91BD6" w:rsidRDefault="00C97487" w:rsidP="00C97487">
      <w:pPr>
        <w:rPr>
          <w:b/>
          <w:bCs/>
          <w:color w:val="FF0000"/>
        </w:rPr>
      </w:pPr>
      <w:r w:rsidRPr="00D91BD6">
        <w:rPr>
          <w:b/>
          <w:bCs/>
          <w:color w:val="FF0000"/>
        </w:rPr>
        <w:t xml:space="preserve">FDR : </w:t>
      </w:r>
    </w:p>
    <w:p w:rsidR="00C97487" w:rsidRDefault="00C97487" w:rsidP="00C97487">
      <w:pPr>
        <w:pStyle w:val="Paragraphedeliste"/>
        <w:numPr>
          <w:ilvl w:val="0"/>
          <w:numId w:val="1"/>
        </w:numPr>
      </w:pPr>
      <w:r>
        <w:t>↗ la concentration de l’allergène =&gt; ↗ fréquence de l’asthme</w:t>
      </w:r>
    </w:p>
    <w:p w:rsidR="00C97487" w:rsidRDefault="00C97487" w:rsidP="00C97487">
      <w:pPr>
        <w:pStyle w:val="Paragraphedeliste"/>
        <w:numPr>
          <w:ilvl w:val="0"/>
          <w:numId w:val="1"/>
        </w:numPr>
      </w:pPr>
      <w:r>
        <w:t>le terrain atopique n’est pas un FDR pour les asthmes induits par les produits chimiques +++</w:t>
      </w:r>
    </w:p>
    <w:p w:rsidR="00C97487" w:rsidRPr="00D91BD6" w:rsidRDefault="00B777C9" w:rsidP="00C97487">
      <w:pPr>
        <w:rPr>
          <w:b/>
          <w:bCs/>
          <w:color w:val="FF0000"/>
        </w:rPr>
      </w:pPr>
      <w:r w:rsidRPr="00D91BD6">
        <w:rPr>
          <w:b/>
          <w:bCs/>
          <w:color w:val="FF0000"/>
        </w:rPr>
        <w:t>Démarche diagnostic</w:t>
      </w:r>
    </w:p>
    <w:p w:rsidR="00B777C9" w:rsidRPr="00D91BD6" w:rsidRDefault="00B777C9" w:rsidP="00B777C9">
      <w:pPr>
        <w:pStyle w:val="Paragraphedeliste"/>
        <w:numPr>
          <w:ilvl w:val="0"/>
          <w:numId w:val="2"/>
        </w:numPr>
        <w:rPr>
          <w:b/>
          <w:bCs/>
        </w:rPr>
      </w:pPr>
      <w:r w:rsidRPr="00D91BD6">
        <w:rPr>
          <w:b/>
          <w:bCs/>
        </w:rPr>
        <w:t xml:space="preserve">confirmer l’asthme + EFR </w:t>
      </w:r>
    </w:p>
    <w:p w:rsidR="00B777C9" w:rsidRDefault="00B777C9" w:rsidP="00B777C9">
      <w:pPr>
        <w:pStyle w:val="Paragraphedeliste"/>
        <w:numPr>
          <w:ilvl w:val="0"/>
          <w:numId w:val="3"/>
        </w:numPr>
      </w:pPr>
      <w:r>
        <w:t>TVO réversibles sous bronchodilatateurs inhalés</w:t>
      </w:r>
    </w:p>
    <w:p w:rsidR="00B777C9" w:rsidRDefault="00B777C9" w:rsidP="00B777C9">
      <w:pPr>
        <w:pStyle w:val="Paragraphedeliste"/>
        <w:numPr>
          <w:ilvl w:val="0"/>
          <w:numId w:val="3"/>
        </w:numPr>
      </w:pPr>
      <w:r>
        <w:t xml:space="preserve">Test au </w:t>
      </w:r>
      <w:proofErr w:type="spellStart"/>
      <w:r>
        <w:t>Carbacol</w:t>
      </w:r>
      <w:proofErr w:type="spellEnd"/>
      <w:r>
        <w:t xml:space="preserve"> (broncho-constricteur) :</w:t>
      </w:r>
    </w:p>
    <w:p w:rsidR="00B777C9" w:rsidRDefault="00B777C9" w:rsidP="00B777C9">
      <w:pPr>
        <w:pStyle w:val="Paragraphedeliste"/>
        <w:numPr>
          <w:ilvl w:val="0"/>
          <w:numId w:val="4"/>
        </w:numPr>
      </w:pPr>
      <w:r>
        <w:t>Si chute du VEMS de plus de 20% =&gt; asthmatique</w:t>
      </w:r>
    </w:p>
    <w:p w:rsidR="00B777C9" w:rsidRDefault="00B777C9" w:rsidP="00B777C9">
      <w:pPr>
        <w:pStyle w:val="Paragraphedeliste"/>
        <w:numPr>
          <w:ilvl w:val="0"/>
          <w:numId w:val="4"/>
        </w:numPr>
      </w:pPr>
      <w:r>
        <w:t>Si sujet sain =&gt; légère broncho-constriction =&gt; VEMS ne chute pas</w:t>
      </w:r>
    </w:p>
    <w:p w:rsidR="00D91BD6" w:rsidRDefault="00D91BD6" w:rsidP="00D91BD6">
      <w:pPr>
        <w:pStyle w:val="Paragraphedeliste"/>
        <w:ind w:left="1440"/>
      </w:pPr>
    </w:p>
    <w:p w:rsidR="00B777C9" w:rsidRPr="00D91BD6" w:rsidRDefault="00B777C9" w:rsidP="00B777C9">
      <w:pPr>
        <w:pStyle w:val="Paragraphedeliste"/>
        <w:numPr>
          <w:ilvl w:val="0"/>
          <w:numId w:val="2"/>
        </w:numPr>
        <w:rPr>
          <w:b/>
          <w:bCs/>
        </w:rPr>
      </w:pPr>
      <w:r w:rsidRPr="00D91BD6">
        <w:rPr>
          <w:b/>
          <w:bCs/>
        </w:rPr>
        <w:t>confirmer l’origine professionnelle et identifier l’agent causal</w:t>
      </w:r>
    </w:p>
    <w:p w:rsidR="00B777C9" w:rsidRDefault="00B777C9" w:rsidP="00B777C9">
      <w:pPr>
        <w:pStyle w:val="Paragraphedeliste"/>
        <w:numPr>
          <w:ilvl w:val="0"/>
          <w:numId w:val="4"/>
        </w:numPr>
      </w:pPr>
      <w:r>
        <w:t>test d’éviction et de réintroduction</w:t>
      </w:r>
    </w:p>
    <w:p w:rsidR="00B777C9" w:rsidRDefault="007A33CC" w:rsidP="00B777C9">
      <w:pPr>
        <w:pStyle w:val="Paragraphedeliste"/>
        <w:numPr>
          <w:ilvl w:val="0"/>
          <w:numId w:val="4"/>
        </w:numPr>
      </w:pPr>
      <w:r>
        <w:t xml:space="preserve">faire une </w:t>
      </w:r>
      <w:r w:rsidR="00B777C9">
        <w:t>liste de tous les produits auxquels le salarié est exposé</w:t>
      </w:r>
    </w:p>
    <w:p w:rsidR="00B777C9" w:rsidRDefault="00B777C9" w:rsidP="00B777C9">
      <w:pPr>
        <w:pStyle w:val="Paragraphedeliste"/>
        <w:numPr>
          <w:ilvl w:val="0"/>
          <w:numId w:val="4"/>
        </w:numPr>
      </w:pPr>
      <w:r>
        <w:t>EFR en milieu professionnel</w:t>
      </w:r>
    </w:p>
    <w:p w:rsidR="00B777C9" w:rsidRDefault="00B777C9" w:rsidP="00B777C9">
      <w:pPr>
        <w:pStyle w:val="Paragraphedeliste"/>
        <w:numPr>
          <w:ilvl w:val="0"/>
          <w:numId w:val="4"/>
        </w:numPr>
      </w:pPr>
      <w:proofErr w:type="spellStart"/>
      <w:r>
        <w:t>Prick</w:t>
      </w:r>
      <w:proofErr w:type="spellEnd"/>
      <w:r>
        <w:t xml:space="preserve"> test</w:t>
      </w:r>
    </w:p>
    <w:p w:rsidR="00566A66" w:rsidRPr="00D91BD6" w:rsidRDefault="00566A66" w:rsidP="00566A66">
      <w:pPr>
        <w:rPr>
          <w:b/>
          <w:bCs/>
          <w:color w:val="FF0000"/>
        </w:rPr>
      </w:pPr>
      <w:r w:rsidRPr="00D91BD6">
        <w:rPr>
          <w:b/>
          <w:bCs/>
          <w:color w:val="FF0000"/>
        </w:rPr>
        <w:t xml:space="preserve">Sources d’exposition : </w:t>
      </w:r>
    </w:p>
    <w:p w:rsidR="00566A66" w:rsidRDefault="00742F45" w:rsidP="00742F45">
      <w:pPr>
        <w:pStyle w:val="Paragraphedeliste"/>
        <w:numPr>
          <w:ilvl w:val="0"/>
          <w:numId w:val="2"/>
        </w:numPr>
      </w:pPr>
      <w:r>
        <w:t>pâtissiers, boulangers =&gt; farine</w:t>
      </w:r>
    </w:p>
    <w:p w:rsidR="00742F45" w:rsidRDefault="00742F45" w:rsidP="00742F45">
      <w:pPr>
        <w:pStyle w:val="Paragraphedeliste"/>
        <w:numPr>
          <w:ilvl w:val="0"/>
          <w:numId w:val="2"/>
        </w:numPr>
      </w:pPr>
      <w:r>
        <w:t>Tisserant =&gt; coton</w:t>
      </w:r>
    </w:p>
    <w:p w:rsidR="00742F45" w:rsidRDefault="00742F45" w:rsidP="00742F45">
      <w:pPr>
        <w:pStyle w:val="Paragraphedeliste"/>
        <w:numPr>
          <w:ilvl w:val="0"/>
          <w:numId w:val="2"/>
        </w:numPr>
      </w:pPr>
      <w:r>
        <w:t>ébéniste =&gt; bois</w:t>
      </w:r>
    </w:p>
    <w:p w:rsidR="00742F45" w:rsidRDefault="00742F45" w:rsidP="00742F45">
      <w:pPr>
        <w:pStyle w:val="Paragraphedeliste"/>
        <w:numPr>
          <w:ilvl w:val="0"/>
          <w:numId w:val="2"/>
        </w:numPr>
      </w:pPr>
      <w:r>
        <w:t xml:space="preserve">laborantin =&gt; phanères d’animaux </w:t>
      </w:r>
    </w:p>
    <w:p w:rsidR="00742F45" w:rsidRDefault="00742F45" w:rsidP="00742F45">
      <w:pPr>
        <w:pStyle w:val="Paragraphedeliste"/>
        <w:numPr>
          <w:ilvl w:val="0"/>
          <w:numId w:val="2"/>
        </w:numPr>
      </w:pPr>
      <w:r>
        <w:t>éleveur =&gt; urines d’animaux</w:t>
      </w:r>
    </w:p>
    <w:p w:rsidR="00742F45" w:rsidRDefault="00742F45" w:rsidP="00742F45">
      <w:pPr>
        <w:pStyle w:val="Paragraphedeliste"/>
        <w:numPr>
          <w:ilvl w:val="0"/>
          <w:numId w:val="2"/>
        </w:numPr>
      </w:pPr>
      <w:r>
        <w:t xml:space="preserve">personnel soignant =&gt; médicaments </w:t>
      </w:r>
    </w:p>
    <w:p w:rsidR="00742F45" w:rsidRDefault="00742F45" w:rsidP="00742F45">
      <w:pPr>
        <w:pStyle w:val="Paragraphedeliste"/>
        <w:numPr>
          <w:ilvl w:val="0"/>
          <w:numId w:val="2"/>
        </w:numPr>
      </w:pPr>
      <w:r>
        <w:t>industrie métallurgique =&gt; isocyanate, métaux (chrome, nickel, aluminium)</w:t>
      </w:r>
    </w:p>
    <w:p w:rsidR="00742F45" w:rsidRDefault="00742F45" w:rsidP="00742F45">
      <w:pPr>
        <w:pStyle w:val="Paragraphedeliste"/>
        <w:numPr>
          <w:ilvl w:val="0"/>
          <w:numId w:val="2"/>
        </w:numPr>
      </w:pPr>
      <w:r>
        <w:t>industrie de colorants =&lt; amides aromatiques et aliphatique</w:t>
      </w:r>
    </w:p>
    <w:p w:rsidR="00B777C9" w:rsidRDefault="00742F45" w:rsidP="007A33CC">
      <w:pPr>
        <w:ind w:left="360"/>
      </w:pPr>
      <w:r w:rsidRPr="00D91BD6">
        <w:rPr>
          <w:b/>
          <w:bCs/>
          <w:color w:val="FF0000"/>
        </w:rPr>
        <w:t>Réparation</w:t>
      </w:r>
      <w:r>
        <w:t xml:space="preserve"> : </w:t>
      </w:r>
      <w:r w:rsidRPr="007A33CC">
        <w:rPr>
          <w:highlight w:val="yellow"/>
        </w:rPr>
        <w:t>il existe 16 tableaux</w:t>
      </w:r>
      <w:r>
        <w:t xml:space="preserve"> =&gt; </w:t>
      </w:r>
      <w:r w:rsidR="007A33CC">
        <w:t>D</w:t>
      </w:r>
      <w:r>
        <w:t>PC 7j</w:t>
      </w:r>
    </w:p>
    <w:sectPr w:rsidR="00B777C9" w:rsidSect="00B777C9">
      <w:pgSz w:w="11906" w:h="16838"/>
      <w:pgMar w:top="567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51FAF"/>
    <w:multiLevelType w:val="hybridMultilevel"/>
    <w:tmpl w:val="1F0A12A6"/>
    <w:lvl w:ilvl="0" w:tplc="1234AF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AC6B8C"/>
    <w:multiLevelType w:val="hybridMultilevel"/>
    <w:tmpl w:val="D34202AC"/>
    <w:lvl w:ilvl="0" w:tplc="9A08C6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FF3E13"/>
    <w:multiLevelType w:val="hybridMultilevel"/>
    <w:tmpl w:val="E4F060DC"/>
    <w:lvl w:ilvl="0" w:tplc="F9A86D1A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2047A1E"/>
    <w:multiLevelType w:val="hybridMultilevel"/>
    <w:tmpl w:val="5546C4E0"/>
    <w:lvl w:ilvl="0" w:tplc="5EE0454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4DE9"/>
    <w:rsid w:val="003B4DE9"/>
    <w:rsid w:val="004E14DB"/>
    <w:rsid w:val="00566A66"/>
    <w:rsid w:val="005D0705"/>
    <w:rsid w:val="00742F45"/>
    <w:rsid w:val="007A33CC"/>
    <w:rsid w:val="00AC1FA6"/>
    <w:rsid w:val="00B777C9"/>
    <w:rsid w:val="00C758BB"/>
    <w:rsid w:val="00C97487"/>
    <w:rsid w:val="00D91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974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AE88B-D152-4FAC-AA5E-9EFB44BA5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2010-04-27T10:41:00Z</dcterms:created>
  <dcterms:modified xsi:type="dcterms:W3CDTF">2010-04-28T09:01:00Z</dcterms:modified>
</cp:coreProperties>
</file>