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1A024C" w:rsidRDefault="00C150EE" w:rsidP="001A024C">
      <w:pPr>
        <w:jc w:val="center"/>
        <w:rPr>
          <w:b/>
          <w:bCs/>
          <w:color w:val="FF0000"/>
        </w:rPr>
      </w:pPr>
      <w:r w:rsidRPr="001A024C">
        <w:rPr>
          <w:b/>
          <w:bCs/>
          <w:color w:val="FF0000"/>
        </w:rPr>
        <w:t>Hyperphosphorémie</w:t>
      </w:r>
    </w:p>
    <w:p w:rsidR="00C150EE" w:rsidRDefault="00C150EE" w:rsidP="00C150EE">
      <w:pPr>
        <w:pStyle w:val="Paragraphedeliste"/>
        <w:numPr>
          <w:ilvl w:val="0"/>
          <w:numId w:val="3"/>
        </w:numPr>
      </w:pPr>
      <w:r>
        <w:t>phosphore ion essentiellement intracellulaire 99%</w:t>
      </w:r>
    </w:p>
    <w:p w:rsidR="00C150EE" w:rsidRDefault="00C150EE" w:rsidP="00C150EE">
      <w:pPr>
        <w:pStyle w:val="Paragraphedeliste"/>
        <w:numPr>
          <w:ilvl w:val="0"/>
          <w:numId w:val="3"/>
        </w:numPr>
      </w:pPr>
      <w:r>
        <w:t>90% du phosphore se trouvent dans les os sous forme d’</w:t>
      </w:r>
      <w:proofErr w:type="spellStart"/>
      <w:r>
        <w:t>hydroxy</w:t>
      </w:r>
      <w:proofErr w:type="spellEnd"/>
      <w:r>
        <w:t>-apatite</w:t>
      </w:r>
    </w:p>
    <w:p w:rsidR="00C150EE" w:rsidRDefault="00C150EE" w:rsidP="00C150EE">
      <w:pPr>
        <w:pStyle w:val="Paragraphedeliste"/>
        <w:numPr>
          <w:ilvl w:val="0"/>
          <w:numId w:val="3"/>
        </w:numPr>
      </w:pPr>
      <w:r w:rsidRPr="001F01C4">
        <w:rPr>
          <w:highlight w:val="yellow"/>
        </w:rPr>
        <w:t xml:space="preserve">phosphorémie : 0.95-1.45 </w:t>
      </w:r>
      <w:proofErr w:type="spellStart"/>
      <w:r w:rsidRPr="001F01C4">
        <w:rPr>
          <w:highlight w:val="yellow"/>
        </w:rPr>
        <w:t>mmol</w:t>
      </w:r>
      <w:proofErr w:type="spellEnd"/>
      <w:r w:rsidRPr="001F01C4">
        <w:rPr>
          <w:highlight w:val="yellow"/>
        </w:rPr>
        <w:t>/l</w:t>
      </w:r>
    </w:p>
    <w:p w:rsidR="00C150EE" w:rsidRDefault="00C150EE" w:rsidP="00C150EE">
      <w:pPr>
        <w:pStyle w:val="Paragraphedeliste"/>
        <w:numPr>
          <w:ilvl w:val="0"/>
          <w:numId w:val="3"/>
        </w:numPr>
      </w:pPr>
      <w:r>
        <w:t>aliments riches en phosphore : laitages, fromage, viandes, œufs, chocolats</w:t>
      </w:r>
    </w:p>
    <w:p w:rsidR="00C150EE" w:rsidRDefault="00C150EE" w:rsidP="00C150EE">
      <w:pPr>
        <w:pStyle w:val="Paragraphedeliste"/>
        <w:numPr>
          <w:ilvl w:val="0"/>
          <w:numId w:val="3"/>
        </w:numPr>
      </w:pPr>
      <w:r>
        <w:t xml:space="preserve">absorption : </w:t>
      </w:r>
    </w:p>
    <w:p w:rsidR="00C150EE" w:rsidRDefault="00C150EE" w:rsidP="00C150EE">
      <w:pPr>
        <w:pStyle w:val="Paragraphedeliste"/>
        <w:numPr>
          <w:ilvl w:val="0"/>
          <w:numId w:val="4"/>
        </w:numPr>
      </w:pPr>
      <w:proofErr w:type="gramStart"/>
      <w:r>
        <w:t>la</w:t>
      </w:r>
      <w:proofErr w:type="gramEnd"/>
      <w:r>
        <w:t xml:space="preserve"> vit D ↗ l’absorption digestive du Ca</w:t>
      </w:r>
      <w:r w:rsidR="001F01C4">
        <w:t xml:space="preserve"> et P</w:t>
      </w:r>
    </w:p>
    <w:p w:rsidR="00C150EE" w:rsidRDefault="00C150EE" w:rsidP="00C150EE">
      <w:pPr>
        <w:pStyle w:val="Paragraphedeliste"/>
        <w:numPr>
          <w:ilvl w:val="0"/>
          <w:numId w:val="4"/>
        </w:numPr>
      </w:pPr>
      <w:r>
        <w:t>le Ca et l’aluminium</w:t>
      </w:r>
      <w:r w:rsidR="001F01C4">
        <w:t xml:space="preserve"> ↘  l’absorption digestive du P</w:t>
      </w:r>
    </w:p>
    <w:p w:rsidR="00C150EE" w:rsidRDefault="00C150EE" w:rsidP="001A024C">
      <w:pPr>
        <w:pStyle w:val="Paragraphedeliste"/>
        <w:numPr>
          <w:ilvl w:val="0"/>
          <w:numId w:val="3"/>
        </w:numPr>
      </w:pPr>
      <w:r>
        <w:t>l’élimination rénale : réabsorption ↘ par PTH</w:t>
      </w:r>
    </w:p>
    <w:p w:rsidR="00C150EE" w:rsidRPr="001A024C" w:rsidRDefault="00C150EE">
      <w:pPr>
        <w:rPr>
          <w:b/>
          <w:bCs/>
          <w:color w:val="FF0000"/>
        </w:rPr>
      </w:pPr>
      <w:r w:rsidRPr="001A024C">
        <w:rPr>
          <w:b/>
          <w:bCs/>
          <w:color w:val="FF0000"/>
        </w:rPr>
        <w:t xml:space="preserve">Etiologies : </w:t>
      </w:r>
    </w:p>
    <w:p w:rsidR="00C150EE" w:rsidRDefault="00C150EE" w:rsidP="00C150EE">
      <w:pPr>
        <w:pStyle w:val="Paragraphedeliste"/>
        <w:numPr>
          <w:ilvl w:val="0"/>
          <w:numId w:val="1"/>
        </w:numPr>
      </w:pPr>
      <w:r>
        <w:t>cause</w:t>
      </w:r>
      <w:r w:rsidR="001F01C4">
        <w:t>s</w:t>
      </w:r>
      <w:r>
        <w:t xml:space="preserve"> connue</w:t>
      </w:r>
      <w:r w:rsidR="001F01C4">
        <w:t>s</w:t>
      </w:r>
      <w:r>
        <w:t> : IR +++, Sd de lyse tumorale ++, rhabdomyolyse, apports exogènes</w:t>
      </w:r>
      <w:r w:rsidR="001A024C">
        <w:t xml:space="preserve">, TRT par les biphosphonates (amine : il bloque la résorption osseuse durable) </w:t>
      </w:r>
    </w:p>
    <w:p w:rsidR="00C150EE" w:rsidRDefault="00C150EE" w:rsidP="00C150EE">
      <w:pPr>
        <w:pStyle w:val="Paragraphedeliste"/>
        <w:numPr>
          <w:ilvl w:val="0"/>
          <w:numId w:val="1"/>
        </w:numPr>
      </w:pPr>
      <w:r>
        <w:t>cause</w:t>
      </w:r>
      <w:r w:rsidR="001F01C4">
        <w:t>s</w:t>
      </w:r>
      <w:r>
        <w:t xml:space="preserve"> inconnue</w:t>
      </w:r>
      <w:r w:rsidR="001F01C4">
        <w:t>s</w:t>
      </w:r>
      <w:r>
        <w:t xml:space="preserve"> : </w:t>
      </w:r>
    </w:p>
    <w:p w:rsidR="00C150EE" w:rsidRDefault="00C150EE" w:rsidP="00C150EE">
      <w:pPr>
        <w:pStyle w:val="Paragraphedeliste"/>
        <w:numPr>
          <w:ilvl w:val="0"/>
          <w:numId w:val="2"/>
        </w:numPr>
      </w:pPr>
      <w:r>
        <w:t>FG &lt; 25ml/mn : IRA, IRC</w:t>
      </w:r>
    </w:p>
    <w:p w:rsidR="00C150EE" w:rsidRDefault="00C150EE" w:rsidP="00C150EE">
      <w:pPr>
        <w:pStyle w:val="Paragraphedeliste"/>
        <w:numPr>
          <w:ilvl w:val="0"/>
          <w:numId w:val="2"/>
        </w:numPr>
      </w:pPr>
      <w:r>
        <w:t xml:space="preserve">FG &gt; 25 ml/mn : </w:t>
      </w:r>
    </w:p>
    <w:p w:rsidR="00C150EE" w:rsidRDefault="00C150EE" w:rsidP="00C150EE">
      <w:pPr>
        <w:pStyle w:val="Paragraphedeliste"/>
        <w:numPr>
          <w:ilvl w:val="1"/>
          <w:numId w:val="2"/>
        </w:numPr>
      </w:pPr>
      <w:r>
        <w:t xml:space="preserve">hypoparathyroïdie : doser PTH et calcémie </w:t>
      </w:r>
    </w:p>
    <w:p w:rsidR="00C150EE" w:rsidRDefault="00C150EE" w:rsidP="00C150EE">
      <w:pPr>
        <w:pStyle w:val="Paragraphedeliste"/>
        <w:numPr>
          <w:ilvl w:val="1"/>
          <w:numId w:val="2"/>
        </w:numPr>
      </w:pPr>
      <w:r>
        <w:t xml:space="preserve">hyperthyroïdie : bilan thyroïdien </w:t>
      </w:r>
    </w:p>
    <w:p w:rsidR="00C150EE" w:rsidRDefault="00C150EE" w:rsidP="00C150EE">
      <w:pPr>
        <w:pStyle w:val="Paragraphedeliste"/>
        <w:numPr>
          <w:ilvl w:val="1"/>
          <w:numId w:val="2"/>
        </w:numPr>
      </w:pPr>
      <w:r>
        <w:t>acromégalie</w:t>
      </w:r>
    </w:p>
    <w:p w:rsidR="00C150EE" w:rsidRPr="001A024C" w:rsidRDefault="001A024C">
      <w:pPr>
        <w:rPr>
          <w:b/>
          <w:bCs/>
          <w:color w:val="FF0000"/>
        </w:rPr>
      </w:pPr>
      <w:r w:rsidRPr="001A024C">
        <w:rPr>
          <w:b/>
          <w:bCs/>
          <w:color w:val="FF0000"/>
        </w:rPr>
        <w:t xml:space="preserve">Clinique : </w:t>
      </w:r>
    </w:p>
    <w:p w:rsidR="001A024C" w:rsidRDefault="001A024C" w:rsidP="001A024C">
      <w:pPr>
        <w:pStyle w:val="Paragraphedeliste"/>
        <w:numPr>
          <w:ilvl w:val="0"/>
          <w:numId w:val="3"/>
        </w:numPr>
      </w:pPr>
      <w:r>
        <w:t>le plus souvent asymptomatique, la symptomatologie est secondaire à l’hypocalcémie (formation de sels phosphocalciques peu solubles) avec calcifications</w:t>
      </w:r>
    </w:p>
    <w:p w:rsidR="001A024C" w:rsidRPr="001A024C" w:rsidRDefault="001A024C" w:rsidP="001A024C">
      <w:pPr>
        <w:rPr>
          <w:b/>
          <w:bCs/>
          <w:color w:val="FF0000"/>
        </w:rPr>
      </w:pPr>
      <w:r w:rsidRPr="001A024C">
        <w:rPr>
          <w:b/>
          <w:bCs/>
          <w:color w:val="FF0000"/>
        </w:rPr>
        <w:t xml:space="preserve">TRT : </w:t>
      </w:r>
    </w:p>
    <w:p w:rsidR="001A024C" w:rsidRDefault="001A024C" w:rsidP="001A024C">
      <w:pPr>
        <w:pStyle w:val="Paragraphedeliste"/>
        <w:numPr>
          <w:ilvl w:val="0"/>
          <w:numId w:val="3"/>
        </w:numPr>
      </w:pPr>
      <w:r>
        <w:t>diminuer l’apport en P</w:t>
      </w:r>
    </w:p>
    <w:p w:rsidR="001A024C" w:rsidRDefault="001A024C" w:rsidP="001A024C">
      <w:pPr>
        <w:pStyle w:val="Paragraphedeliste"/>
        <w:numPr>
          <w:ilvl w:val="0"/>
          <w:numId w:val="3"/>
        </w:numPr>
      </w:pPr>
      <w:r>
        <w:t>hémodialyse en cas IR</w:t>
      </w:r>
    </w:p>
    <w:sectPr w:rsidR="001A024C" w:rsidSect="001A024C">
      <w:pgSz w:w="11906" w:h="16838"/>
      <w:pgMar w:top="1440" w:right="991" w:bottom="144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90C20"/>
    <w:multiLevelType w:val="hybridMultilevel"/>
    <w:tmpl w:val="4600F094"/>
    <w:lvl w:ilvl="0" w:tplc="D8F02E16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C626F54"/>
    <w:multiLevelType w:val="hybridMultilevel"/>
    <w:tmpl w:val="BA1446AE"/>
    <w:lvl w:ilvl="0" w:tplc="B320666C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E316FD"/>
    <w:multiLevelType w:val="hybridMultilevel"/>
    <w:tmpl w:val="C9A8D1F2"/>
    <w:lvl w:ilvl="0" w:tplc="A720134C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30A453A"/>
    <w:multiLevelType w:val="hybridMultilevel"/>
    <w:tmpl w:val="0006362A"/>
    <w:lvl w:ilvl="0" w:tplc="6DF82D1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150EE"/>
    <w:rsid w:val="001A024C"/>
    <w:rsid w:val="001F01C4"/>
    <w:rsid w:val="00921C9A"/>
    <w:rsid w:val="009F7EAF"/>
    <w:rsid w:val="00AC1FA6"/>
    <w:rsid w:val="00C150EE"/>
    <w:rsid w:val="00C75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150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145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3</cp:revision>
  <dcterms:created xsi:type="dcterms:W3CDTF">2010-04-19T12:24:00Z</dcterms:created>
  <dcterms:modified xsi:type="dcterms:W3CDTF">2010-04-20T16:09:00Z</dcterms:modified>
</cp:coreProperties>
</file>