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E16" w:rsidRPr="00C36211" w:rsidRDefault="00E86E16" w:rsidP="00E86E1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36211">
        <w:rPr>
          <w:rFonts w:asciiTheme="minorHAnsi" w:hAnsiTheme="minorHAnsi"/>
          <w:b/>
          <w:color w:val="FF0000"/>
          <w:sz w:val="22"/>
          <w:szCs w:val="22"/>
        </w:rPr>
        <w:t>HYPOGONADISME MASCULIN</w:t>
      </w:r>
    </w:p>
    <w:p w:rsidR="00E86E16" w:rsidRPr="00C36211" w:rsidRDefault="00E86E16" w:rsidP="00E86E1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MIS (</w:t>
      </w:r>
      <w:proofErr w:type="spellStart"/>
      <w:r w:rsidRPr="00C36211">
        <w:rPr>
          <w:rFonts w:asciiTheme="minorHAnsi" w:hAnsiTheme="minorHAnsi"/>
          <w:sz w:val="22"/>
          <w:szCs w:val="22"/>
        </w:rPr>
        <w:t>mullérienne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36211">
        <w:rPr>
          <w:rFonts w:asciiTheme="minorHAnsi" w:hAnsiTheme="minorHAnsi"/>
          <w:sz w:val="22"/>
          <w:szCs w:val="22"/>
        </w:rPr>
        <w:t>inhibiting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 substance) empêche la formation des structures féminines</w:t>
      </w:r>
      <w:r>
        <w:rPr>
          <w:rFonts w:asciiTheme="minorHAnsi" w:hAnsiTheme="minorHAnsi"/>
          <w:sz w:val="22"/>
          <w:szCs w:val="22"/>
        </w:rPr>
        <w:t xml:space="preserve"> in utero </w:t>
      </w:r>
      <w:r w:rsidRPr="00C36211">
        <w:rPr>
          <w:rFonts w:asciiTheme="minorHAnsi" w:hAnsiTheme="minorHAnsi"/>
          <w:sz w:val="22"/>
          <w:szCs w:val="22"/>
        </w:rPr>
        <w:t xml:space="preserve"> </w:t>
      </w:r>
    </w:p>
    <w:p w:rsidR="00E86E16" w:rsidRPr="00C36211" w:rsidRDefault="00E86E16" w:rsidP="00E86E1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E86E16" w:rsidRPr="00C36211" w:rsidRDefault="00E86E16" w:rsidP="00E86E1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36211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E86E16" w:rsidRPr="00C36211" w:rsidRDefault="00E86E16" w:rsidP="00E86E1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pseudohermaphrodisme :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gonades exclusivement testiculaires  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16">
        <w:rPr>
          <w:rFonts w:asciiTheme="minorHAnsi" w:hAnsiTheme="minorHAnsi"/>
          <w:sz w:val="22"/>
          <w:szCs w:val="22"/>
          <w:highlight w:val="yellow"/>
        </w:rPr>
        <w:t>l’ambigüité apparaît pendant la période fœtale</w:t>
      </w:r>
      <w:r w:rsidRPr="00C36211">
        <w:rPr>
          <w:rFonts w:asciiTheme="minorHAnsi" w:hAnsiTheme="minorHAnsi"/>
          <w:sz w:val="22"/>
          <w:szCs w:val="22"/>
        </w:rPr>
        <w:t xml:space="preserve"> et dépend de la précocité de son apparition </w:t>
      </w:r>
    </w:p>
    <w:p w:rsidR="00E86E16" w:rsidRPr="00C36211" w:rsidRDefault="00E86E16" w:rsidP="00E86E1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pseudo hermaphrodisme interne</w:t>
      </w:r>
      <w:r w:rsidRPr="00C36211">
        <w:rPr>
          <w:rFonts w:asciiTheme="minorHAnsi" w:hAnsiTheme="minorHAnsi"/>
          <w:sz w:val="22"/>
          <w:szCs w:val="22"/>
        </w:rPr>
        <w:t xml:space="preserve"> : présence d’utérus et de trompes, absence de sécrétion de MIS, les organes sexuels externes et les testicules sont normaux </w:t>
      </w:r>
    </w:p>
    <w:p w:rsidR="00E86E16" w:rsidRPr="00C36211" w:rsidRDefault="00E86E16" w:rsidP="00E86E1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pseudo hermaphrodisme masculin externe </w:t>
      </w:r>
      <w:r w:rsidRPr="00C36211">
        <w:rPr>
          <w:rFonts w:asciiTheme="minorHAnsi" w:hAnsiTheme="minorHAnsi"/>
          <w:sz w:val="22"/>
          <w:szCs w:val="22"/>
        </w:rPr>
        <w:t xml:space="preserve">: défaut de sécrétion de testostérone =&gt; organes génitaux externes ambigües  </w:t>
      </w:r>
    </w:p>
    <w:p w:rsidR="00E86E16" w:rsidRPr="00C36211" w:rsidRDefault="00E86E16" w:rsidP="00E86E1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pseudo hermaphrodisme masculin mixte</w:t>
      </w:r>
      <w:r w:rsidRPr="00C36211">
        <w:rPr>
          <w:rFonts w:asciiTheme="minorHAnsi" w:hAnsiTheme="minorHAnsi"/>
          <w:sz w:val="22"/>
          <w:szCs w:val="22"/>
        </w:rPr>
        <w:t xml:space="preserve"> : double déficit en MIS et testostérone </w:t>
      </w:r>
    </w:p>
    <w:p w:rsidR="00E86E16" w:rsidRPr="00C36211" w:rsidRDefault="00E86E16" w:rsidP="00E86E1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E86E16" w:rsidRPr="00C36211" w:rsidRDefault="00E86E16" w:rsidP="00E86E1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hypogonadisme primaire :</w:t>
      </w:r>
    </w:p>
    <w:p w:rsidR="00E86E16" w:rsidRPr="00C36211" w:rsidRDefault="00E86E16" w:rsidP="00E86E1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avant la puberté</w:t>
      </w:r>
      <w:r w:rsidRPr="00C36211">
        <w:rPr>
          <w:rFonts w:asciiTheme="minorHAnsi" w:hAnsiTheme="minorHAnsi"/>
          <w:sz w:val="22"/>
          <w:szCs w:val="22"/>
        </w:rPr>
        <w:t xml:space="preserve"> : 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pas de développement de caractères sexuels secondaires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grande da taille, thorax étroit, musculature faible, graisse sous cutanée importante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organes génitaux infantiles, parfois gynécomastie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absence de libido, pas d’érection ni éjaculation </w:t>
      </w:r>
    </w:p>
    <w:p w:rsidR="00E86E16" w:rsidRPr="00C36211" w:rsidRDefault="00E86E16" w:rsidP="00E86E1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86E16" w:rsidRPr="00C36211" w:rsidRDefault="00E86E16" w:rsidP="00E86E1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après la puberté</w:t>
      </w:r>
      <w:r w:rsidRPr="00C36211">
        <w:rPr>
          <w:rFonts w:asciiTheme="minorHAnsi" w:hAnsiTheme="minorHAnsi"/>
          <w:sz w:val="22"/>
          <w:szCs w:val="22"/>
        </w:rPr>
        <w:t xml:space="preserve"> : 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caractères sexuels secondaire régresse lentement + atrophie testiculaire 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diminution et raréfaction de la pilosité 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disparition de la libido</w:t>
      </w:r>
    </w:p>
    <w:p w:rsidR="00E86E16" w:rsidRPr="00C36211" w:rsidRDefault="00E86E16" w:rsidP="00E86E1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86E16" w:rsidRPr="00C36211" w:rsidRDefault="00E86E16" w:rsidP="00E86E1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dosage hormonaux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testostérone et œstradiol bas, FSH, LH élevé (insuffisance primitive)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test dynamique : LH-RH =&gt; ↑ FSH-LH mais hormones testostérone reste basse</w:t>
      </w:r>
    </w:p>
    <w:p w:rsidR="00E86E16" w:rsidRPr="00C36211" w:rsidRDefault="00E86E16" w:rsidP="00E86E1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 </w:t>
      </w:r>
    </w:p>
    <w:p w:rsidR="00E86E16" w:rsidRPr="00C36211" w:rsidRDefault="00E86E16" w:rsidP="00E86E1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étiologies :</w:t>
      </w:r>
    </w:p>
    <w:p w:rsidR="00E86E16" w:rsidRPr="00C36211" w:rsidRDefault="00E86E16" w:rsidP="00E86E16">
      <w:pPr>
        <w:numPr>
          <w:ilvl w:val="1"/>
          <w:numId w:val="2"/>
        </w:numPr>
        <w:spacing w:line="276" w:lineRule="auto"/>
        <w:rPr>
          <w:rFonts w:asciiTheme="minorHAnsi" w:hAnsiTheme="minorHAnsi"/>
          <w:color w:val="FF0000"/>
          <w:sz w:val="22"/>
          <w:szCs w:val="22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Maladie de Klinefelter</w:t>
      </w:r>
      <w:r w:rsidRPr="00C36211">
        <w:rPr>
          <w:rFonts w:asciiTheme="minorHAnsi" w:hAnsiTheme="minorHAnsi"/>
          <w:color w:val="FF0000"/>
          <w:sz w:val="22"/>
          <w:szCs w:val="22"/>
        </w:rPr>
        <w:t> :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36211">
        <w:rPr>
          <w:rFonts w:asciiTheme="minorHAnsi" w:hAnsiTheme="minorHAnsi"/>
          <w:sz w:val="22"/>
          <w:szCs w:val="22"/>
        </w:rPr>
        <w:t>orchidodystrophie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36211">
        <w:rPr>
          <w:rFonts w:asciiTheme="minorHAnsi" w:hAnsiTheme="minorHAnsi"/>
          <w:sz w:val="22"/>
          <w:szCs w:val="22"/>
        </w:rPr>
        <w:t>polygonosomique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 avec présence obligatoire d’un X surnuméraire 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diagnostiquée vers l’adolescence, elle s’associe souvent à une dystrophie osseuse, débilité mentale, diabète familiale 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caryotype le pl</w:t>
      </w:r>
      <w:r>
        <w:rPr>
          <w:rFonts w:asciiTheme="minorHAnsi" w:hAnsiTheme="minorHAnsi"/>
          <w:sz w:val="22"/>
          <w:szCs w:val="22"/>
        </w:rPr>
        <w:t>us fréquent : XXY, rarement XXXY</w:t>
      </w:r>
      <w:r w:rsidRPr="00C36211">
        <w:rPr>
          <w:rFonts w:asciiTheme="minorHAnsi" w:hAnsiTheme="minorHAnsi"/>
          <w:sz w:val="22"/>
          <w:szCs w:val="22"/>
        </w:rPr>
        <w:t>, XXXXY, XXYY</w:t>
      </w:r>
    </w:p>
    <w:p w:rsidR="00E86E16" w:rsidRPr="00C95092" w:rsidRDefault="00E86E16" w:rsidP="00E86E16">
      <w:pPr>
        <w:pStyle w:val="Paragraphedeliste"/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95092">
        <w:rPr>
          <w:rFonts w:asciiTheme="minorHAnsi" w:hAnsiTheme="minorHAnsi"/>
          <w:color w:val="FF0000"/>
          <w:sz w:val="22"/>
          <w:szCs w:val="22"/>
        </w:rPr>
        <w:t>anorchidie</w:t>
      </w:r>
      <w:proofErr w:type="spellEnd"/>
      <w:r w:rsidRPr="00C95092">
        <w:rPr>
          <w:rFonts w:asciiTheme="minorHAnsi" w:hAnsiTheme="minorHAnsi"/>
          <w:sz w:val="22"/>
          <w:szCs w:val="22"/>
        </w:rPr>
        <w:t xml:space="preserve"> : traumatisme ou chirurgical </w:t>
      </w:r>
    </w:p>
    <w:p w:rsidR="00E86E16" w:rsidRPr="00C36211" w:rsidRDefault="00E86E16" w:rsidP="00E86E16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insuffisance testiculaire de la sénescence</w:t>
      </w:r>
      <w:r w:rsidRPr="00C36211">
        <w:rPr>
          <w:rFonts w:asciiTheme="minorHAnsi" w:hAnsiTheme="minorHAnsi"/>
          <w:sz w:val="22"/>
          <w:szCs w:val="22"/>
          <w:u w:val="single"/>
        </w:rPr>
        <w:t> :</w:t>
      </w:r>
      <w:r w:rsidRPr="00C36211">
        <w:rPr>
          <w:rFonts w:asciiTheme="minorHAnsi" w:hAnsiTheme="minorHAnsi"/>
          <w:sz w:val="22"/>
          <w:szCs w:val="22"/>
        </w:rPr>
        <w:t xml:space="preserve"> sujet âgé </w:t>
      </w:r>
    </w:p>
    <w:p w:rsidR="00E86E16" w:rsidRPr="00C36211" w:rsidRDefault="00E86E16" w:rsidP="00E86E16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aplasie germinale et dystrophie 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myotonique</w:t>
      </w:r>
      <w:proofErr w:type="spellEnd"/>
      <w:r w:rsidRPr="00C36211">
        <w:rPr>
          <w:rFonts w:asciiTheme="minorHAnsi" w:hAnsiTheme="minorHAnsi"/>
          <w:sz w:val="22"/>
          <w:szCs w:val="22"/>
        </w:rPr>
        <w:t xml:space="preserve"> : maladie de Steinert </w:t>
      </w:r>
    </w:p>
    <w:p w:rsidR="00E86E16" w:rsidRPr="00C36211" w:rsidRDefault="00E86E16" w:rsidP="00E86E16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causes acquise</w:t>
      </w:r>
      <w:r>
        <w:rPr>
          <w:rFonts w:asciiTheme="minorHAnsi" w:hAnsiTheme="minorHAnsi"/>
          <w:color w:val="FF0000"/>
          <w:sz w:val="22"/>
          <w:szCs w:val="22"/>
          <w:u w:val="single"/>
        </w:rPr>
        <w:t>s</w:t>
      </w:r>
      <w:r w:rsidRPr="00C36211">
        <w:rPr>
          <w:rFonts w:asciiTheme="minorHAnsi" w:hAnsiTheme="minorHAnsi"/>
          <w:sz w:val="22"/>
          <w:szCs w:val="22"/>
        </w:rPr>
        <w:t> : orchite ourlienne, irradiation, varicocèle</w:t>
      </w:r>
    </w:p>
    <w:p w:rsidR="00E86E16" w:rsidRPr="00C36211" w:rsidRDefault="00E86E16" w:rsidP="00E86E1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86E16" w:rsidRPr="00C36211" w:rsidRDefault="00E86E16" w:rsidP="00E86E1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86E16" w:rsidRPr="00C36211" w:rsidRDefault="00E86E16" w:rsidP="00E86E1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hypogonadisme d’origine centrale :</w:t>
      </w:r>
    </w:p>
    <w:p w:rsidR="00E86E16" w:rsidRPr="00C36211" w:rsidRDefault="00E86E16" w:rsidP="00E86E16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hypogonadisme du pan-hypopituitarisme </w:t>
      </w:r>
      <w:r w:rsidRPr="00C36211">
        <w:rPr>
          <w:rFonts w:asciiTheme="minorHAnsi" w:hAnsiTheme="minorHAnsi"/>
          <w:sz w:val="22"/>
          <w:szCs w:val="22"/>
        </w:rPr>
        <w:t>: insuffisance antéhypophysaire</w:t>
      </w:r>
      <w:r w:rsidRPr="00C36211">
        <w:rPr>
          <w:rFonts w:asciiTheme="minorHAnsi" w:hAnsiTheme="minorHAnsi"/>
          <w:sz w:val="22"/>
          <w:szCs w:val="22"/>
          <w:u w:val="single"/>
        </w:rPr>
        <w:t xml:space="preserve"> </w:t>
      </w:r>
    </w:p>
    <w:p w:rsidR="00E86E16" w:rsidRPr="00C36211" w:rsidRDefault="00E86E16" w:rsidP="00E86E16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 xml:space="preserve">déficit en gonadotrophines </w:t>
      </w:r>
    </w:p>
    <w:p w:rsidR="00E86E16" w:rsidRPr="00C36211" w:rsidRDefault="00E86E16" w:rsidP="00E86E16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00"/>
          <w:sz w:val="22"/>
          <w:szCs w:val="22"/>
          <w:u w:val="single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syndrome de 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Morsier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 et 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Kallman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 : </w:t>
      </w:r>
    </w:p>
    <w:p w:rsidR="00E86E16" w:rsidRPr="00C36211" w:rsidRDefault="00E86E16" w:rsidP="00E86E16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lastRenderedPageBreak/>
        <w:t>agénésie des lobes olfactifs lésion hypothalamique</w:t>
      </w:r>
    </w:p>
    <w:p w:rsidR="00E86E16" w:rsidRPr="00C36211" w:rsidRDefault="00E86E16" w:rsidP="00E86E16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anosmie + déficit gonadotrope, parfois cryptorchidie et épilepsie </w:t>
      </w:r>
    </w:p>
    <w:p w:rsidR="00E86E16" w:rsidRPr="00C36211" w:rsidRDefault="00E86E16" w:rsidP="00E86E16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00"/>
          <w:sz w:val="22"/>
          <w:szCs w:val="22"/>
          <w:u w:val="single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syndrome de Laurence-Moon-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Bardet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-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Biedl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 :</w:t>
      </w:r>
    </w:p>
    <w:p w:rsidR="00E86E16" w:rsidRPr="00C36211" w:rsidRDefault="00E86E16" w:rsidP="00E86E16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hypogonadisme + arriération mental + syndactylie + obésité + rétinite pigmentaire</w:t>
      </w:r>
    </w:p>
    <w:p w:rsidR="00E86E16" w:rsidRPr="00C36211" w:rsidRDefault="00E86E16" w:rsidP="00E86E16">
      <w:pPr>
        <w:spacing w:line="276" w:lineRule="auto"/>
        <w:ind w:left="2160"/>
        <w:rPr>
          <w:rFonts w:asciiTheme="minorHAnsi" w:hAnsiTheme="minorHAnsi"/>
          <w:sz w:val="22"/>
          <w:szCs w:val="22"/>
        </w:rPr>
      </w:pPr>
    </w:p>
    <w:p w:rsidR="00E86E16" w:rsidRPr="00C36211" w:rsidRDefault="00E86E16" w:rsidP="00E86E16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00"/>
          <w:sz w:val="22"/>
          <w:szCs w:val="22"/>
          <w:u w:val="single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syndrome de 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Prader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-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Labhart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-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Wili</w:t>
      </w:r>
      <w:proofErr w:type="spellEnd"/>
    </w:p>
    <w:p w:rsidR="00E86E16" w:rsidRPr="00C36211" w:rsidRDefault="00E86E16" w:rsidP="00E86E16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hypogonadisme d’origine thalamique, hypotonie, obésité, dysmorphie (absence cartilage des oreil</w:t>
      </w:r>
      <w:r>
        <w:rPr>
          <w:rFonts w:asciiTheme="minorHAnsi" w:hAnsiTheme="minorHAnsi"/>
          <w:sz w:val="22"/>
          <w:szCs w:val="22"/>
        </w:rPr>
        <w:t>les</w:t>
      </w:r>
      <w:r w:rsidRPr="00C36211">
        <w:rPr>
          <w:rFonts w:asciiTheme="minorHAnsi" w:hAnsiTheme="minorHAnsi"/>
          <w:sz w:val="22"/>
          <w:szCs w:val="22"/>
        </w:rPr>
        <w:t>, strabisme)</w:t>
      </w:r>
    </w:p>
    <w:p w:rsidR="00E86E16" w:rsidRPr="00C36211" w:rsidRDefault="00E86E16" w:rsidP="00E86E16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la stimulation continue par le clomifène donne de bon résultat</w:t>
      </w:r>
      <w:r>
        <w:rPr>
          <w:rFonts w:asciiTheme="minorHAnsi" w:hAnsiTheme="minorHAnsi"/>
          <w:sz w:val="22"/>
          <w:szCs w:val="22"/>
        </w:rPr>
        <w:t>s</w:t>
      </w:r>
      <w:r w:rsidRPr="00C36211">
        <w:rPr>
          <w:rFonts w:asciiTheme="minorHAnsi" w:hAnsiTheme="minorHAnsi"/>
          <w:sz w:val="22"/>
          <w:szCs w:val="22"/>
        </w:rPr>
        <w:t xml:space="preserve">, il s’agirait alors d’un retard de maturation </w:t>
      </w:r>
    </w:p>
    <w:p w:rsidR="00E86E16" w:rsidRPr="00C36211" w:rsidRDefault="00E86E16" w:rsidP="00E86E16">
      <w:pPr>
        <w:spacing w:line="276" w:lineRule="auto"/>
        <w:ind w:left="2520"/>
        <w:rPr>
          <w:rFonts w:asciiTheme="minorHAnsi" w:hAnsiTheme="minorHAnsi"/>
          <w:sz w:val="22"/>
          <w:szCs w:val="22"/>
        </w:rPr>
      </w:pPr>
    </w:p>
    <w:p w:rsidR="00E86E16" w:rsidRPr="00C36211" w:rsidRDefault="00E86E16" w:rsidP="00E86E16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00"/>
          <w:sz w:val="22"/>
          <w:szCs w:val="22"/>
          <w:u w:val="single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syndrome de Babinski-</w:t>
      </w:r>
      <w:proofErr w:type="spell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Frohlich</w:t>
      </w:r>
      <w:proofErr w:type="spellEnd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 : </w:t>
      </w:r>
    </w:p>
    <w:p w:rsidR="00E86E16" w:rsidRPr="00C36211" w:rsidRDefault="00E86E16" w:rsidP="00E86E16">
      <w:pPr>
        <w:numPr>
          <w:ilvl w:val="3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hypogonadisme, obésité et diabète insipide</w:t>
      </w:r>
    </w:p>
    <w:p w:rsidR="00E86E16" w:rsidRPr="00C36211" w:rsidRDefault="00E86E16" w:rsidP="00E86E16">
      <w:pPr>
        <w:spacing w:line="276" w:lineRule="auto"/>
        <w:ind w:left="1800"/>
        <w:rPr>
          <w:rFonts w:asciiTheme="minorHAnsi" w:hAnsiTheme="minorHAnsi"/>
          <w:sz w:val="22"/>
          <w:szCs w:val="22"/>
        </w:rPr>
      </w:pPr>
    </w:p>
    <w:p w:rsidR="00E86E16" w:rsidRPr="00673559" w:rsidRDefault="00E86E16" w:rsidP="00673559">
      <w:pPr>
        <w:numPr>
          <w:ilvl w:val="0"/>
          <w:numId w:val="5"/>
        </w:numPr>
        <w:spacing w:line="276" w:lineRule="auto"/>
        <w:rPr>
          <w:rFonts w:asciiTheme="minorHAnsi" w:hAnsiTheme="minorHAnsi"/>
          <w:color w:val="FF0000"/>
          <w:sz w:val="22"/>
          <w:szCs w:val="22"/>
          <w:u w:val="single"/>
        </w:rPr>
      </w:pPr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>déficit isolé en LH </w:t>
      </w:r>
      <w:proofErr w:type="gramStart"/>
      <w:r w:rsidRPr="00C36211">
        <w:rPr>
          <w:rFonts w:asciiTheme="minorHAnsi" w:hAnsiTheme="minorHAnsi"/>
          <w:color w:val="FF0000"/>
          <w:sz w:val="22"/>
          <w:szCs w:val="22"/>
          <w:u w:val="single"/>
        </w:rPr>
        <w:t xml:space="preserve">: </w:t>
      </w:r>
      <w:r w:rsidR="00673559">
        <w:rPr>
          <w:rFonts w:asciiTheme="minorHAnsi" w:hAnsiTheme="minorHAnsi"/>
          <w:color w:val="FF0000"/>
          <w:sz w:val="22"/>
          <w:szCs w:val="22"/>
          <w:u w:val="single"/>
        </w:rPr>
        <w:t xml:space="preserve"> </w:t>
      </w:r>
      <w:proofErr w:type="spellStart"/>
      <w:r w:rsidRPr="00673559">
        <w:rPr>
          <w:rFonts w:asciiTheme="minorHAnsi" w:hAnsiTheme="minorHAnsi"/>
          <w:sz w:val="22"/>
          <w:szCs w:val="22"/>
        </w:rPr>
        <w:t>eunuchoïdisme</w:t>
      </w:r>
      <w:proofErr w:type="spellEnd"/>
      <w:proofErr w:type="gramEnd"/>
      <w:r w:rsidRPr="00673559">
        <w:rPr>
          <w:rFonts w:asciiTheme="minorHAnsi" w:hAnsiTheme="minorHAnsi"/>
          <w:sz w:val="22"/>
          <w:szCs w:val="22"/>
        </w:rPr>
        <w:t xml:space="preserve"> fertile (rare) </w:t>
      </w:r>
    </w:p>
    <w:p w:rsidR="00E86E16" w:rsidRPr="00C36211" w:rsidRDefault="00E86E16" w:rsidP="00E86E1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86E16" w:rsidRPr="00C36211" w:rsidRDefault="00E86E16" w:rsidP="00E86E1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36211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E86E16" w:rsidRPr="00C36211" w:rsidRDefault="00E86E16" w:rsidP="00E86E1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traitement de l’hypogonadisme primaire :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traitement androgénique : ester de testostérone</w:t>
      </w:r>
    </w:p>
    <w:p w:rsidR="00E86E16" w:rsidRPr="00C36211" w:rsidRDefault="00E86E16" w:rsidP="00E86E1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post pubertaire</w:t>
      </w:r>
      <w:r w:rsidRPr="00C36211">
        <w:rPr>
          <w:rFonts w:asciiTheme="minorHAnsi" w:hAnsiTheme="minorHAnsi"/>
          <w:sz w:val="22"/>
          <w:szCs w:val="22"/>
        </w:rPr>
        <w:t xml:space="preserve"> : 100 à 200mg/mois </w:t>
      </w:r>
    </w:p>
    <w:p w:rsidR="00E86E16" w:rsidRPr="00C36211" w:rsidRDefault="00E86E16" w:rsidP="00E86E1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  <w:u w:val="single"/>
        </w:rPr>
        <w:t>pré pubertaire</w:t>
      </w:r>
      <w:r w:rsidRPr="00C36211">
        <w:rPr>
          <w:rFonts w:asciiTheme="minorHAnsi" w:hAnsiTheme="minorHAnsi"/>
          <w:sz w:val="22"/>
          <w:szCs w:val="22"/>
        </w:rPr>
        <w:t> : dose d’attaque 250mg tous les 7 à 15jrs</w:t>
      </w:r>
    </w:p>
    <w:p w:rsidR="00E86E16" w:rsidRPr="00C36211" w:rsidRDefault="00E86E16" w:rsidP="00E86E16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36211">
        <w:rPr>
          <w:rFonts w:asciiTheme="minorHAnsi" w:hAnsiTheme="minorHAnsi"/>
          <w:b/>
          <w:sz w:val="22"/>
          <w:szCs w:val="22"/>
        </w:rPr>
        <w:t>traitement de l’hypogonadisme secondaire :</w:t>
      </w:r>
    </w:p>
    <w:p w:rsidR="00E86E16" w:rsidRPr="00C36211" w:rsidRDefault="00E86E16" w:rsidP="00E86E1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traitement par les gonadotrophines :</w:t>
      </w:r>
    </w:p>
    <w:p w:rsidR="00E86E16" w:rsidRPr="00C36211" w:rsidRDefault="00E86E16" w:rsidP="00E86E1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>HCG : 4000 UI 3x/semaine pendant 6 à 9 mois puis 2000 UI/ semaine (LH)</w:t>
      </w:r>
    </w:p>
    <w:p w:rsidR="00E86E16" w:rsidRPr="00C36211" w:rsidRDefault="00E86E16" w:rsidP="00E86E1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36211">
        <w:rPr>
          <w:rFonts w:asciiTheme="minorHAnsi" w:hAnsiTheme="minorHAnsi"/>
          <w:sz w:val="22"/>
          <w:szCs w:val="22"/>
        </w:rPr>
        <w:t xml:space="preserve">HMG : remplace la FSH </w:t>
      </w:r>
    </w:p>
    <w:p w:rsidR="00E86E16" w:rsidRPr="00C36211" w:rsidRDefault="00E86E16" w:rsidP="00E86E1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86E16" w:rsidRPr="00C36211" w:rsidRDefault="00E86E16" w:rsidP="00E86E1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758BB" w:rsidRDefault="00C758BB"/>
    <w:sectPr w:rsidR="00C758BB" w:rsidSect="00834BBF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76F7F"/>
    <w:multiLevelType w:val="hybridMultilevel"/>
    <w:tmpl w:val="589CC956"/>
    <w:lvl w:ilvl="0" w:tplc="040C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9741F8"/>
    <w:multiLevelType w:val="hybridMultilevel"/>
    <w:tmpl w:val="BA24713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508F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1C7C3C"/>
    <w:multiLevelType w:val="hybridMultilevel"/>
    <w:tmpl w:val="D714D8F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DA0F12"/>
    <w:multiLevelType w:val="hybridMultilevel"/>
    <w:tmpl w:val="9F32C7DE"/>
    <w:lvl w:ilvl="0" w:tplc="7212AC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D35289"/>
    <w:multiLevelType w:val="hybridMultilevel"/>
    <w:tmpl w:val="4BB28502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48504C0"/>
    <w:multiLevelType w:val="hybridMultilevel"/>
    <w:tmpl w:val="448C1C76"/>
    <w:lvl w:ilvl="0" w:tplc="DE88BF1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86E16"/>
    <w:rsid w:val="00556333"/>
    <w:rsid w:val="00673559"/>
    <w:rsid w:val="007B6942"/>
    <w:rsid w:val="00AC1FA6"/>
    <w:rsid w:val="00C758BB"/>
    <w:rsid w:val="00E86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86E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452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2010-04-13T19:28:00Z</dcterms:created>
  <dcterms:modified xsi:type="dcterms:W3CDTF">2010-04-13T19:44:00Z</dcterms:modified>
</cp:coreProperties>
</file>