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E709F4" w:rsidRDefault="006030BE" w:rsidP="00E709F4">
      <w:pPr>
        <w:spacing w:line="276" w:lineRule="auto"/>
        <w:jc w:val="center"/>
        <w:rPr>
          <w:rFonts w:ascii="Calibri" w:hAnsi="Calibri"/>
          <w:b/>
          <w:color w:val="FF0000"/>
          <w:sz w:val="22"/>
          <w:szCs w:val="22"/>
        </w:rPr>
      </w:pPr>
      <w:r w:rsidRPr="00E709F4">
        <w:rPr>
          <w:rFonts w:ascii="Calibri" w:hAnsi="Calibri"/>
          <w:b/>
          <w:color w:val="FF0000"/>
          <w:sz w:val="22"/>
          <w:szCs w:val="22"/>
        </w:rPr>
        <w:t>EXAMEN MEDICO-LEGALE DES TACHES</w:t>
      </w:r>
    </w:p>
    <w:p w:rsidR="002E3F96" w:rsidRPr="00E709F4" w:rsidRDefault="002E3F96" w:rsidP="00E709F4">
      <w:pPr>
        <w:spacing w:line="276" w:lineRule="auto"/>
        <w:rPr>
          <w:rFonts w:ascii="Calibri" w:hAnsi="Calibri"/>
          <w:sz w:val="22"/>
          <w:szCs w:val="22"/>
        </w:rPr>
      </w:pPr>
    </w:p>
    <w:p w:rsidR="00E57497" w:rsidRPr="00E709F4" w:rsidRDefault="00E57497" w:rsidP="00E709F4">
      <w:pPr>
        <w:numPr>
          <w:ilvl w:val="0"/>
          <w:numId w:val="1"/>
        </w:numPr>
        <w:spacing w:line="276" w:lineRule="auto"/>
        <w:rPr>
          <w:rFonts w:ascii="Calibri" w:hAnsi="Calibri"/>
          <w:b/>
          <w:color w:val="333399"/>
          <w:sz w:val="22"/>
          <w:szCs w:val="22"/>
        </w:rPr>
      </w:pPr>
      <w:r w:rsidRPr="00E709F4">
        <w:rPr>
          <w:rFonts w:ascii="Calibri" w:hAnsi="Calibri"/>
          <w:b/>
          <w:color w:val="333399"/>
          <w:sz w:val="22"/>
          <w:szCs w:val="22"/>
        </w:rPr>
        <w:t>les taches de sang</w:t>
      </w:r>
    </w:p>
    <w:p w:rsidR="00E57497" w:rsidRPr="00E709F4" w:rsidRDefault="00E57497" w:rsidP="00E709F4">
      <w:pPr>
        <w:spacing w:line="276" w:lineRule="auto"/>
        <w:ind w:left="360"/>
        <w:rPr>
          <w:rFonts w:ascii="Calibri" w:hAnsi="Calibri"/>
          <w:sz w:val="22"/>
          <w:szCs w:val="22"/>
        </w:rPr>
      </w:pPr>
    </w:p>
    <w:p w:rsidR="002E3F96" w:rsidRPr="00E709F4" w:rsidRDefault="00E57497" w:rsidP="00E709F4">
      <w:p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E709F4">
        <w:rPr>
          <w:rFonts w:ascii="Calibri" w:hAnsi="Calibri"/>
          <w:b/>
          <w:color w:val="FF0000"/>
          <w:sz w:val="22"/>
          <w:szCs w:val="22"/>
        </w:rPr>
        <w:t>A</w:t>
      </w:r>
      <w:r w:rsidR="002E3F96" w:rsidRPr="00E709F4">
        <w:rPr>
          <w:rFonts w:ascii="Calibri" w:hAnsi="Calibri"/>
          <w:b/>
          <w:color w:val="FF0000"/>
          <w:sz w:val="22"/>
          <w:szCs w:val="22"/>
        </w:rPr>
        <w:t>sp</w:t>
      </w:r>
      <w:r w:rsidRPr="00E709F4">
        <w:rPr>
          <w:rFonts w:ascii="Calibri" w:hAnsi="Calibri"/>
          <w:b/>
          <w:color w:val="FF0000"/>
          <w:sz w:val="22"/>
          <w:szCs w:val="22"/>
        </w:rPr>
        <w:t>ect et forme des taches :</w:t>
      </w:r>
    </w:p>
    <w:p w:rsidR="00E57497" w:rsidRPr="00E709F4" w:rsidRDefault="00E57497" w:rsidP="00E709F4">
      <w:pPr>
        <w:spacing w:line="276" w:lineRule="auto"/>
        <w:rPr>
          <w:rFonts w:ascii="Calibri" w:hAnsi="Calibri"/>
          <w:sz w:val="22"/>
          <w:szCs w:val="22"/>
        </w:rPr>
      </w:pPr>
    </w:p>
    <w:p w:rsidR="00E57497" w:rsidRPr="00E709F4" w:rsidRDefault="00E57497" w:rsidP="00E709F4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 xml:space="preserve">formes variables selon que se soit des jets, éclaboussures essuyage, </w:t>
      </w:r>
    </w:p>
    <w:p w:rsidR="00E57497" w:rsidRPr="00E709F4" w:rsidRDefault="00E57497" w:rsidP="00E709F4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>elles varient également en fonction de leurs anciennetés, rouges vives deviennent brunes avec le temps puis f</w:t>
      </w:r>
      <w:r w:rsidR="00E709F4">
        <w:rPr>
          <w:rFonts w:ascii="Calibri" w:hAnsi="Calibri"/>
          <w:sz w:val="22"/>
          <w:szCs w:val="22"/>
        </w:rPr>
        <w:t>inissent par noircir en contact</w:t>
      </w:r>
      <w:r w:rsidRPr="00E709F4">
        <w:rPr>
          <w:rFonts w:ascii="Calibri" w:hAnsi="Calibri"/>
          <w:sz w:val="22"/>
          <w:szCs w:val="22"/>
        </w:rPr>
        <w:t xml:space="preserve"> avec l’aire </w:t>
      </w:r>
    </w:p>
    <w:p w:rsidR="00E57497" w:rsidRPr="00E709F4" w:rsidRDefault="00E57497" w:rsidP="00E709F4">
      <w:pPr>
        <w:spacing w:line="276" w:lineRule="auto"/>
        <w:ind w:left="360"/>
        <w:rPr>
          <w:rFonts w:ascii="Calibri" w:hAnsi="Calibri"/>
          <w:sz w:val="22"/>
          <w:szCs w:val="22"/>
        </w:rPr>
      </w:pPr>
    </w:p>
    <w:p w:rsidR="00E57497" w:rsidRPr="00E709F4" w:rsidRDefault="00E57497" w:rsidP="00E709F4">
      <w:p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E709F4">
        <w:rPr>
          <w:rFonts w:ascii="Calibri" w:hAnsi="Calibri"/>
          <w:b/>
          <w:color w:val="FF0000"/>
          <w:sz w:val="22"/>
          <w:szCs w:val="22"/>
        </w:rPr>
        <w:t>Prélèvement et transport des taches :</w:t>
      </w:r>
    </w:p>
    <w:p w:rsidR="00E57497" w:rsidRPr="00E709F4" w:rsidRDefault="00E57497" w:rsidP="00E709F4">
      <w:pPr>
        <w:spacing w:line="276" w:lineRule="auto"/>
        <w:rPr>
          <w:rFonts w:ascii="Calibri" w:hAnsi="Calibri"/>
          <w:sz w:val="22"/>
          <w:szCs w:val="22"/>
        </w:rPr>
      </w:pPr>
    </w:p>
    <w:p w:rsidR="00E57497" w:rsidRPr="00E709F4" w:rsidRDefault="00E57497" w:rsidP="00E709F4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 xml:space="preserve">transport se fait au laboratoire, si celui si et impossible, la tache de sang sera prélevée par grattage ou papier buvard </w:t>
      </w:r>
    </w:p>
    <w:p w:rsidR="00E57497" w:rsidRPr="00E709F4" w:rsidRDefault="00E57497" w:rsidP="00E709F4">
      <w:pPr>
        <w:spacing w:line="276" w:lineRule="auto"/>
        <w:rPr>
          <w:rFonts w:ascii="Calibri" w:hAnsi="Calibri"/>
          <w:sz w:val="22"/>
          <w:szCs w:val="22"/>
        </w:rPr>
      </w:pPr>
    </w:p>
    <w:p w:rsidR="00E57497" w:rsidRPr="00E709F4" w:rsidRDefault="00E57497" w:rsidP="00E709F4">
      <w:p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E709F4">
        <w:rPr>
          <w:rFonts w:ascii="Calibri" w:hAnsi="Calibri"/>
          <w:b/>
          <w:color w:val="FF0000"/>
          <w:sz w:val="22"/>
          <w:szCs w:val="22"/>
        </w:rPr>
        <w:t>Examen des taches :</w:t>
      </w:r>
    </w:p>
    <w:p w:rsidR="00E57497" w:rsidRPr="00E709F4" w:rsidRDefault="00E57497" w:rsidP="00E709F4">
      <w:pPr>
        <w:spacing w:line="276" w:lineRule="auto"/>
        <w:rPr>
          <w:rFonts w:ascii="Calibri" w:hAnsi="Calibri"/>
          <w:sz w:val="22"/>
          <w:szCs w:val="22"/>
        </w:rPr>
      </w:pPr>
    </w:p>
    <w:p w:rsidR="00E57497" w:rsidRPr="00E709F4" w:rsidRDefault="00E57497" w:rsidP="00E709F4">
      <w:pPr>
        <w:numPr>
          <w:ilvl w:val="0"/>
          <w:numId w:val="3"/>
        </w:numPr>
        <w:spacing w:line="276" w:lineRule="auto"/>
        <w:rPr>
          <w:rFonts w:ascii="Calibri" w:hAnsi="Calibri"/>
          <w:b/>
          <w:color w:val="008080"/>
          <w:sz w:val="22"/>
          <w:szCs w:val="22"/>
        </w:rPr>
      </w:pPr>
      <w:r w:rsidRPr="00E709F4">
        <w:rPr>
          <w:rFonts w:ascii="Calibri" w:hAnsi="Calibri"/>
          <w:b/>
          <w:color w:val="008080"/>
          <w:sz w:val="22"/>
          <w:szCs w:val="22"/>
        </w:rPr>
        <w:t>épreuves préliminaires ou épreuves d’orientation :</w:t>
      </w:r>
    </w:p>
    <w:p w:rsidR="00BB0CBD" w:rsidRPr="00E709F4" w:rsidRDefault="00BB0CBD" w:rsidP="00E709F4">
      <w:pPr>
        <w:numPr>
          <w:ilvl w:val="1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  <w:highlight w:val="yellow"/>
        </w:rPr>
        <w:t>réaction de MEYER à la phénolphtaléine</w:t>
      </w:r>
      <w:r w:rsidRPr="00E709F4">
        <w:rPr>
          <w:rFonts w:ascii="Calibri" w:hAnsi="Calibri"/>
          <w:sz w:val="22"/>
          <w:szCs w:val="22"/>
        </w:rPr>
        <w:t xml:space="preserve"> : </w:t>
      </w:r>
    </w:p>
    <w:p w:rsidR="00BB0CBD" w:rsidRPr="00E709F4" w:rsidRDefault="00BB0CBD" w:rsidP="00E709F4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>on verse 2cc de la substance à analyser dans un tube à essai, en rajoute 2cc de réactif</w:t>
      </w:r>
    </w:p>
    <w:p w:rsidR="00BB0CBD" w:rsidRPr="00E709F4" w:rsidRDefault="00BB0CBD" w:rsidP="00E709F4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 xml:space="preserve">on rajoute 2 gouttes d’eau oxygéné =&gt; coloration rouge vif </w:t>
      </w:r>
    </w:p>
    <w:p w:rsidR="00BB0CBD" w:rsidRPr="00E709F4" w:rsidRDefault="00BB0CBD" w:rsidP="00E709F4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 xml:space="preserve">réaction la plus sensible mais avec </w:t>
      </w:r>
      <w:proofErr w:type="spellStart"/>
      <w:r w:rsidRPr="00E709F4">
        <w:rPr>
          <w:rFonts w:ascii="Calibri" w:hAnsi="Calibri"/>
          <w:sz w:val="22"/>
          <w:szCs w:val="22"/>
        </w:rPr>
        <w:t>bcp</w:t>
      </w:r>
      <w:proofErr w:type="spellEnd"/>
      <w:r w:rsidRPr="00E709F4">
        <w:rPr>
          <w:rFonts w:ascii="Calibri" w:hAnsi="Calibri"/>
          <w:sz w:val="22"/>
          <w:szCs w:val="22"/>
        </w:rPr>
        <w:t xml:space="preserve"> de faux positif notamment des jus de fruit acide </w:t>
      </w:r>
    </w:p>
    <w:p w:rsidR="00BB0CBD" w:rsidRPr="00E709F4" w:rsidRDefault="00BB0CBD" w:rsidP="00E709F4">
      <w:pPr>
        <w:numPr>
          <w:ilvl w:val="1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  <w:highlight w:val="yellow"/>
        </w:rPr>
        <w:t>réaction d’ADLER à la benzidine</w:t>
      </w:r>
      <w:r w:rsidRPr="00E709F4">
        <w:rPr>
          <w:rFonts w:ascii="Calibri" w:hAnsi="Calibri"/>
          <w:sz w:val="22"/>
          <w:szCs w:val="22"/>
        </w:rPr>
        <w:t> :</w:t>
      </w:r>
    </w:p>
    <w:p w:rsidR="00BB0CBD" w:rsidRPr="00E709F4" w:rsidRDefault="00BB0CBD" w:rsidP="00E709F4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 xml:space="preserve">même principe et inconvénient que la précédente </w:t>
      </w:r>
    </w:p>
    <w:p w:rsidR="00BB0CBD" w:rsidRPr="00E709F4" w:rsidRDefault="00BB0CBD" w:rsidP="00E709F4">
      <w:pPr>
        <w:spacing w:line="276" w:lineRule="auto"/>
        <w:ind w:left="1080"/>
        <w:rPr>
          <w:rFonts w:ascii="Calibri" w:hAnsi="Calibri"/>
          <w:sz w:val="22"/>
          <w:szCs w:val="22"/>
        </w:rPr>
      </w:pPr>
    </w:p>
    <w:p w:rsidR="00E57497" w:rsidRPr="00E709F4" w:rsidRDefault="00E57497" w:rsidP="00E709F4">
      <w:pPr>
        <w:numPr>
          <w:ilvl w:val="0"/>
          <w:numId w:val="3"/>
        </w:numPr>
        <w:spacing w:line="276" w:lineRule="auto"/>
        <w:rPr>
          <w:rFonts w:ascii="Calibri" w:hAnsi="Calibri"/>
          <w:b/>
          <w:color w:val="008080"/>
          <w:sz w:val="22"/>
          <w:szCs w:val="22"/>
        </w:rPr>
      </w:pPr>
      <w:r w:rsidRPr="00E709F4">
        <w:rPr>
          <w:rFonts w:ascii="Calibri" w:hAnsi="Calibri"/>
          <w:b/>
          <w:color w:val="008080"/>
          <w:sz w:val="22"/>
          <w:szCs w:val="22"/>
        </w:rPr>
        <w:t>épreuves décisives ou de certitude :</w:t>
      </w:r>
    </w:p>
    <w:p w:rsidR="00BB0CBD" w:rsidRPr="00E709F4" w:rsidRDefault="00BB0CBD" w:rsidP="00E709F4">
      <w:pPr>
        <w:numPr>
          <w:ilvl w:val="1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  <w:highlight w:val="yellow"/>
        </w:rPr>
        <w:t>recherche directe d’hématies</w:t>
      </w:r>
      <w:r w:rsidRPr="00E709F4">
        <w:rPr>
          <w:rFonts w:ascii="Calibri" w:hAnsi="Calibri"/>
          <w:sz w:val="22"/>
          <w:szCs w:val="22"/>
        </w:rPr>
        <w:t> : à la microscopie, (-) en cas d’hémolyse</w:t>
      </w:r>
    </w:p>
    <w:p w:rsidR="00BB0CBD" w:rsidRPr="00E709F4" w:rsidRDefault="00BB0CBD" w:rsidP="00E709F4">
      <w:pPr>
        <w:numPr>
          <w:ilvl w:val="1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>épreuves cristallographiques : formation de cristaux d’hématie (</w:t>
      </w:r>
      <w:r w:rsidRPr="00E709F4">
        <w:rPr>
          <w:rFonts w:ascii="Calibri" w:hAnsi="Calibri"/>
          <w:sz w:val="22"/>
          <w:szCs w:val="22"/>
          <w:highlight w:val="yellow"/>
        </w:rPr>
        <w:t>cristaux de TEICHMANN</w:t>
      </w:r>
      <w:r w:rsidRPr="00E709F4">
        <w:rPr>
          <w:rFonts w:ascii="Calibri" w:hAnsi="Calibri"/>
          <w:sz w:val="22"/>
          <w:szCs w:val="22"/>
        </w:rPr>
        <w:t>) sous l’effet de certain</w:t>
      </w:r>
      <w:r w:rsidR="00E709F4">
        <w:rPr>
          <w:rFonts w:ascii="Calibri" w:hAnsi="Calibri"/>
          <w:sz w:val="22"/>
          <w:szCs w:val="22"/>
        </w:rPr>
        <w:t>s</w:t>
      </w:r>
      <w:r w:rsidRPr="00E709F4">
        <w:rPr>
          <w:rFonts w:ascii="Calibri" w:hAnsi="Calibri"/>
          <w:sz w:val="22"/>
          <w:szCs w:val="22"/>
        </w:rPr>
        <w:t xml:space="preserve"> réactif</w:t>
      </w:r>
      <w:r w:rsidR="00E709F4">
        <w:rPr>
          <w:rFonts w:ascii="Calibri" w:hAnsi="Calibri"/>
          <w:sz w:val="22"/>
          <w:szCs w:val="22"/>
        </w:rPr>
        <w:t>s</w:t>
      </w:r>
      <w:r w:rsidRPr="00E709F4">
        <w:rPr>
          <w:rFonts w:ascii="Calibri" w:hAnsi="Calibri"/>
          <w:sz w:val="22"/>
          <w:szCs w:val="22"/>
        </w:rPr>
        <w:t xml:space="preserve"> </w:t>
      </w:r>
    </w:p>
    <w:p w:rsidR="00BB0CBD" w:rsidRPr="00E709F4" w:rsidRDefault="00BB0CBD" w:rsidP="00E709F4">
      <w:pPr>
        <w:numPr>
          <w:ilvl w:val="1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>spectroscopie </w:t>
      </w:r>
    </w:p>
    <w:p w:rsidR="00BB0CBD" w:rsidRPr="00E709F4" w:rsidRDefault="00BB0CBD" w:rsidP="00E709F4">
      <w:pPr>
        <w:spacing w:line="276" w:lineRule="auto"/>
        <w:ind w:left="1080"/>
        <w:rPr>
          <w:rFonts w:ascii="Calibri" w:hAnsi="Calibri"/>
          <w:sz w:val="22"/>
          <w:szCs w:val="22"/>
        </w:rPr>
      </w:pPr>
    </w:p>
    <w:p w:rsidR="00E57497" w:rsidRPr="00E709F4" w:rsidRDefault="00E57497" w:rsidP="00E709F4">
      <w:pPr>
        <w:numPr>
          <w:ilvl w:val="0"/>
          <w:numId w:val="3"/>
        </w:numPr>
        <w:spacing w:line="276" w:lineRule="auto"/>
        <w:rPr>
          <w:rFonts w:ascii="Calibri" w:hAnsi="Calibri"/>
          <w:b/>
          <w:color w:val="008080"/>
          <w:sz w:val="22"/>
          <w:szCs w:val="22"/>
        </w:rPr>
      </w:pPr>
      <w:r w:rsidRPr="00E709F4">
        <w:rPr>
          <w:rFonts w:ascii="Calibri" w:hAnsi="Calibri"/>
          <w:b/>
          <w:color w:val="008080"/>
          <w:sz w:val="22"/>
          <w:szCs w:val="22"/>
        </w:rPr>
        <w:t>détermination de l’origine du sang :</w:t>
      </w:r>
    </w:p>
    <w:p w:rsidR="00BB0CBD" w:rsidRPr="00E709F4" w:rsidRDefault="00BB0CBD" w:rsidP="00E709F4">
      <w:pPr>
        <w:numPr>
          <w:ilvl w:val="1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  <w:highlight w:val="yellow"/>
        </w:rPr>
        <w:t>vérifier l’origine humaine du sang</w:t>
      </w:r>
      <w:r w:rsidR="002728A8" w:rsidRPr="00E709F4">
        <w:rPr>
          <w:rFonts w:ascii="Calibri" w:hAnsi="Calibri"/>
          <w:sz w:val="22"/>
          <w:szCs w:val="22"/>
          <w:highlight w:val="yellow"/>
        </w:rPr>
        <w:t> : grâce à l’</w:t>
      </w:r>
      <w:proofErr w:type="spellStart"/>
      <w:r w:rsidR="002728A8" w:rsidRPr="00E709F4">
        <w:rPr>
          <w:rFonts w:ascii="Calibri" w:hAnsi="Calibri"/>
          <w:sz w:val="22"/>
          <w:szCs w:val="22"/>
          <w:highlight w:val="yellow"/>
        </w:rPr>
        <w:t>anaphylase</w:t>
      </w:r>
      <w:proofErr w:type="spellEnd"/>
      <w:r w:rsidR="002728A8" w:rsidRPr="00E709F4">
        <w:rPr>
          <w:rFonts w:ascii="Calibri" w:hAnsi="Calibri"/>
          <w:sz w:val="22"/>
          <w:szCs w:val="22"/>
          <w:highlight w:val="yellow"/>
        </w:rPr>
        <w:t>, sérums précipitants</w:t>
      </w:r>
    </w:p>
    <w:p w:rsidR="002728A8" w:rsidRPr="00E709F4" w:rsidRDefault="002728A8" w:rsidP="00E709F4">
      <w:pPr>
        <w:numPr>
          <w:ilvl w:val="1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>rechercher la provenance du sang humain</w:t>
      </w:r>
    </w:p>
    <w:p w:rsidR="002728A8" w:rsidRPr="00E709F4" w:rsidRDefault="002728A8" w:rsidP="00E709F4">
      <w:pPr>
        <w:numPr>
          <w:ilvl w:val="1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 xml:space="preserve">tache de sang menstruel : présence de cellule épithéliale génitale </w:t>
      </w:r>
    </w:p>
    <w:p w:rsidR="002728A8" w:rsidRPr="00E709F4" w:rsidRDefault="00E709F4" w:rsidP="00E709F4">
      <w:pPr>
        <w:numPr>
          <w:ilvl w:val="1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tache provenant d’u</w:t>
      </w:r>
      <w:r w:rsidR="002728A8" w:rsidRPr="00E709F4">
        <w:rPr>
          <w:rFonts w:ascii="Calibri" w:hAnsi="Calibri"/>
          <w:sz w:val="22"/>
          <w:szCs w:val="22"/>
        </w:rPr>
        <w:t xml:space="preserve">n avortement : présence de fragments de villosités, placenta, de caduque </w:t>
      </w:r>
    </w:p>
    <w:p w:rsidR="00E57497" w:rsidRPr="00E709F4" w:rsidRDefault="002728A8" w:rsidP="00E709F4">
      <w:pPr>
        <w:numPr>
          <w:ilvl w:val="1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 xml:space="preserve">lochies : leucocyte et granulation graisseuse </w:t>
      </w:r>
    </w:p>
    <w:p w:rsidR="00E57497" w:rsidRPr="00E709F4" w:rsidRDefault="00E57497" w:rsidP="00E709F4">
      <w:pPr>
        <w:spacing w:line="276" w:lineRule="auto"/>
        <w:rPr>
          <w:rFonts w:ascii="Calibri" w:hAnsi="Calibri"/>
          <w:sz w:val="22"/>
          <w:szCs w:val="22"/>
        </w:rPr>
      </w:pPr>
    </w:p>
    <w:p w:rsidR="00E57497" w:rsidRPr="00E709F4" w:rsidRDefault="00E57497" w:rsidP="00E709F4">
      <w:pPr>
        <w:numPr>
          <w:ilvl w:val="0"/>
          <w:numId w:val="1"/>
        </w:numPr>
        <w:spacing w:line="276" w:lineRule="auto"/>
        <w:rPr>
          <w:rFonts w:ascii="Calibri" w:hAnsi="Calibri"/>
          <w:b/>
          <w:color w:val="333399"/>
          <w:sz w:val="22"/>
          <w:szCs w:val="22"/>
        </w:rPr>
      </w:pPr>
      <w:r w:rsidRPr="00E709F4">
        <w:rPr>
          <w:rFonts w:ascii="Calibri" w:hAnsi="Calibri"/>
          <w:b/>
          <w:color w:val="333399"/>
          <w:sz w:val="22"/>
          <w:szCs w:val="22"/>
        </w:rPr>
        <w:t xml:space="preserve">les taches de </w:t>
      </w:r>
      <w:r w:rsidR="00E709F4">
        <w:rPr>
          <w:rFonts w:ascii="Calibri" w:hAnsi="Calibri"/>
          <w:b/>
          <w:color w:val="333399"/>
          <w:sz w:val="22"/>
          <w:szCs w:val="22"/>
        </w:rPr>
        <w:t>sperme :</w:t>
      </w:r>
    </w:p>
    <w:p w:rsidR="00E57497" w:rsidRPr="00E709F4" w:rsidRDefault="00E57497" w:rsidP="00E709F4">
      <w:pPr>
        <w:spacing w:line="276" w:lineRule="auto"/>
        <w:rPr>
          <w:rFonts w:ascii="Calibri" w:hAnsi="Calibri"/>
          <w:sz w:val="22"/>
          <w:szCs w:val="22"/>
        </w:rPr>
      </w:pPr>
    </w:p>
    <w:p w:rsidR="00E57497" w:rsidRPr="00E709F4" w:rsidRDefault="00E57497" w:rsidP="00E709F4">
      <w:p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E709F4">
        <w:rPr>
          <w:rFonts w:ascii="Calibri" w:hAnsi="Calibri"/>
          <w:b/>
          <w:color w:val="FF0000"/>
          <w:sz w:val="22"/>
          <w:szCs w:val="22"/>
        </w:rPr>
        <w:t>Aspect et forme des taches</w:t>
      </w:r>
    </w:p>
    <w:p w:rsidR="00E57497" w:rsidRPr="00E709F4" w:rsidRDefault="00E57497" w:rsidP="00E709F4">
      <w:pPr>
        <w:spacing w:line="276" w:lineRule="auto"/>
        <w:rPr>
          <w:rFonts w:ascii="Calibri" w:hAnsi="Calibri"/>
          <w:sz w:val="22"/>
          <w:szCs w:val="22"/>
        </w:rPr>
      </w:pPr>
    </w:p>
    <w:p w:rsidR="00E57497" w:rsidRPr="00E709F4" w:rsidRDefault="002728A8" w:rsidP="00E709F4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 xml:space="preserve">sur le linge absorbant : aspect de carte géographique, elles sont grisâtres à bord très nettes </w:t>
      </w:r>
    </w:p>
    <w:p w:rsidR="002728A8" w:rsidRPr="00E709F4" w:rsidRDefault="002728A8" w:rsidP="00E709F4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 xml:space="preserve">sur le linge non absorbant ou objets : aspect en trainé de limace ou d’escargot </w:t>
      </w:r>
    </w:p>
    <w:p w:rsidR="002728A8" w:rsidRPr="00E709F4" w:rsidRDefault="002728A8" w:rsidP="00E709F4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>sur la peau : tache pellicules minces brillantes en tache de bougie</w:t>
      </w:r>
    </w:p>
    <w:p w:rsidR="002728A8" w:rsidRPr="00E709F4" w:rsidRDefault="002728A8" w:rsidP="00E709F4">
      <w:pPr>
        <w:spacing w:line="276" w:lineRule="auto"/>
        <w:ind w:left="360"/>
        <w:rPr>
          <w:rFonts w:ascii="Calibri" w:hAnsi="Calibri"/>
          <w:b/>
          <w:color w:val="FF0000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 xml:space="preserve"> </w:t>
      </w:r>
    </w:p>
    <w:p w:rsidR="00D30967" w:rsidRPr="00E709F4" w:rsidRDefault="00E57497" w:rsidP="00E709F4">
      <w:p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b/>
          <w:color w:val="FF0000"/>
          <w:sz w:val="22"/>
          <w:szCs w:val="22"/>
        </w:rPr>
        <w:t>Prélèvement et transport des taches</w:t>
      </w:r>
      <w:r w:rsidR="00D30967" w:rsidRPr="00E709F4">
        <w:rPr>
          <w:rFonts w:ascii="Calibri" w:hAnsi="Calibri"/>
          <w:b/>
          <w:color w:val="FF0000"/>
          <w:sz w:val="22"/>
          <w:szCs w:val="22"/>
        </w:rPr>
        <w:t> :</w:t>
      </w:r>
      <w:r w:rsidR="00D30967" w:rsidRPr="00E709F4">
        <w:rPr>
          <w:rFonts w:ascii="Calibri" w:hAnsi="Calibri"/>
          <w:sz w:val="22"/>
          <w:szCs w:val="22"/>
        </w:rPr>
        <w:t xml:space="preserve"> recherches et transport minutieux des taches  </w:t>
      </w:r>
    </w:p>
    <w:p w:rsidR="00E57497" w:rsidRPr="00E709F4" w:rsidRDefault="00E57497" w:rsidP="00E709F4">
      <w:pPr>
        <w:spacing w:line="276" w:lineRule="auto"/>
        <w:rPr>
          <w:rFonts w:ascii="Calibri" w:hAnsi="Calibri"/>
          <w:sz w:val="22"/>
          <w:szCs w:val="22"/>
        </w:rPr>
      </w:pPr>
    </w:p>
    <w:p w:rsidR="00E57497" w:rsidRPr="00E709F4" w:rsidRDefault="00E57497" w:rsidP="00E709F4">
      <w:p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E709F4">
        <w:rPr>
          <w:rFonts w:ascii="Calibri" w:hAnsi="Calibri"/>
          <w:b/>
          <w:color w:val="FF0000"/>
          <w:sz w:val="22"/>
          <w:szCs w:val="22"/>
        </w:rPr>
        <w:t>Examen des taches</w:t>
      </w:r>
    </w:p>
    <w:p w:rsidR="00D30967" w:rsidRPr="00E709F4" w:rsidRDefault="00D30967" w:rsidP="00E709F4">
      <w:pPr>
        <w:spacing w:line="276" w:lineRule="auto"/>
        <w:rPr>
          <w:rFonts w:ascii="Calibri" w:hAnsi="Calibri"/>
          <w:sz w:val="22"/>
          <w:szCs w:val="22"/>
        </w:rPr>
      </w:pPr>
    </w:p>
    <w:p w:rsidR="00E57497" w:rsidRPr="00E709F4" w:rsidRDefault="00D30967" w:rsidP="00E709F4">
      <w:pPr>
        <w:numPr>
          <w:ilvl w:val="0"/>
          <w:numId w:val="5"/>
        </w:numPr>
        <w:spacing w:line="276" w:lineRule="auto"/>
        <w:rPr>
          <w:rFonts w:ascii="Calibri" w:hAnsi="Calibri"/>
          <w:b/>
          <w:color w:val="008080"/>
          <w:sz w:val="22"/>
          <w:szCs w:val="22"/>
        </w:rPr>
      </w:pPr>
      <w:r w:rsidRPr="00E709F4">
        <w:rPr>
          <w:rFonts w:ascii="Calibri" w:hAnsi="Calibri"/>
          <w:b/>
          <w:color w:val="008080"/>
          <w:sz w:val="22"/>
          <w:szCs w:val="22"/>
        </w:rPr>
        <w:t>réaction de FLORENCE :</w:t>
      </w:r>
    </w:p>
    <w:p w:rsidR="00D30967" w:rsidRPr="00E709F4" w:rsidRDefault="00D30967" w:rsidP="00E709F4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>formation de cristaux de florence à l’addition d’un réactif</w:t>
      </w:r>
    </w:p>
    <w:p w:rsidR="00D30967" w:rsidRPr="00E709F4" w:rsidRDefault="00D30967" w:rsidP="00E709F4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>réaction négative en cas de putréfaction du sperme ou mélange au sang</w:t>
      </w:r>
    </w:p>
    <w:p w:rsidR="00811B40" w:rsidRPr="00E709F4" w:rsidRDefault="00811B40" w:rsidP="00E709F4">
      <w:pPr>
        <w:spacing w:line="276" w:lineRule="auto"/>
        <w:ind w:left="360"/>
        <w:rPr>
          <w:rFonts w:ascii="Calibri" w:hAnsi="Calibri"/>
          <w:sz w:val="22"/>
          <w:szCs w:val="22"/>
        </w:rPr>
      </w:pPr>
    </w:p>
    <w:p w:rsidR="00D30967" w:rsidRPr="00E709F4" w:rsidRDefault="00D30967" w:rsidP="00E709F4">
      <w:pPr>
        <w:numPr>
          <w:ilvl w:val="0"/>
          <w:numId w:val="5"/>
        </w:numPr>
        <w:spacing w:line="276" w:lineRule="auto"/>
        <w:rPr>
          <w:rFonts w:ascii="Calibri" w:hAnsi="Calibri"/>
          <w:b/>
          <w:color w:val="008080"/>
          <w:sz w:val="22"/>
          <w:szCs w:val="22"/>
        </w:rPr>
      </w:pPr>
      <w:r w:rsidRPr="00E709F4">
        <w:rPr>
          <w:rFonts w:ascii="Calibri" w:hAnsi="Calibri"/>
          <w:b/>
          <w:color w:val="008080"/>
          <w:sz w:val="22"/>
          <w:szCs w:val="22"/>
        </w:rPr>
        <w:t>réaction de BARBERIO</w:t>
      </w:r>
      <w:r w:rsidR="00811B40" w:rsidRPr="00E709F4">
        <w:rPr>
          <w:rFonts w:ascii="Calibri" w:hAnsi="Calibri"/>
          <w:b/>
          <w:color w:val="008080"/>
          <w:sz w:val="22"/>
          <w:szCs w:val="22"/>
        </w:rPr>
        <w:t> :</w:t>
      </w:r>
    </w:p>
    <w:p w:rsidR="00811B40" w:rsidRPr="00E709F4" w:rsidRDefault="00811B40" w:rsidP="00E709F4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>formation de cristaux de BARBERIO</w:t>
      </w:r>
    </w:p>
    <w:p w:rsidR="00811B40" w:rsidRPr="00E709F4" w:rsidRDefault="00811B40" w:rsidP="00E709F4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>réaction (+) avec le pus de blennorragie</w:t>
      </w:r>
      <w:r w:rsidR="000629B0" w:rsidRPr="00E709F4">
        <w:rPr>
          <w:rFonts w:ascii="Calibri" w:hAnsi="Calibri"/>
          <w:sz w:val="22"/>
          <w:szCs w:val="22"/>
        </w:rPr>
        <w:t>, la viande et le jus d’orange</w:t>
      </w:r>
    </w:p>
    <w:p w:rsidR="00811B40" w:rsidRPr="00E709F4" w:rsidRDefault="00811B40" w:rsidP="00E709F4">
      <w:pPr>
        <w:spacing w:line="276" w:lineRule="auto"/>
        <w:rPr>
          <w:rFonts w:ascii="Calibri" w:hAnsi="Calibri"/>
          <w:sz w:val="22"/>
          <w:szCs w:val="22"/>
        </w:rPr>
      </w:pPr>
    </w:p>
    <w:p w:rsidR="00D30967" w:rsidRPr="00E709F4" w:rsidRDefault="00D30967" w:rsidP="00E709F4">
      <w:pPr>
        <w:numPr>
          <w:ilvl w:val="0"/>
          <w:numId w:val="5"/>
        </w:numPr>
        <w:spacing w:line="276" w:lineRule="auto"/>
        <w:rPr>
          <w:rFonts w:ascii="Calibri" w:hAnsi="Calibri"/>
          <w:b/>
          <w:color w:val="008080"/>
          <w:sz w:val="22"/>
          <w:szCs w:val="22"/>
        </w:rPr>
      </w:pPr>
      <w:r w:rsidRPr="00E709F4">
        <w:rPr>
          <w:rFonts w:ascii="Calibri" w:hAnsi="Calibri"/>
          <w:b/>
          <w:color w:val="008080"/>
          <w:sz w:val="22"/>
          <w:szCs w:val="22"/>
        </w:rPr>
        <w:t>réaction de certitude</w:t>
      </w:r>
      <w:r w:rsidR="000629B0" w:rsidRPr="00E709F4">
        <w:rPr>
          <w:rFonts w:ascii="Calibri" w:hAnsi="Calibri"/>
          <w:b/>
          <w:color w:val="008080"/>
          <w:sz w:val="22"/>
          <w:szCs w:val="22"/>
        </w:rPr>
        <w:t> :</w:t>
      </w:r>
    </w:p>
    <w:p w:rsidR="000629B0" w:rsidRPr="00E709F4" w:rsidRDefault="000629B0" w:rsidP="00E709F4">
      <w:pPr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E709F4">
        <w:rPr>
          <w:rFonts w:ascii="Calibri" w:hAnsi="Calibri"/>
          <w:sz w:val="22"/>
          <w:szCs w:val="22"/>
        </w:rPr>
        <w:t xml:space="preserve">recherche de SPZ à la microscopie ou macération </w:t>
      </w:r>
    </w:p>
    <w:p w:rsidR="000629B0" w:rsidRPr="00E709F4" w:rsidRDefault="000629B0" w:rsidP="00E709F4">
      <w:pPr>
        <w:spacing w:line="276" w:lineRule="auto"/>
        <w:ind w:left="360"/>
        <w:rPr>
          <w:rFonts w:ascii="Calibri" w:hAnsi="Calibri"/>
          <w:sz w:val="22"/>
          <w:szCs w:val="22"/>
        </w:rPr>
      </w:pPr>
    </w:p>
    <w:sectPr w:rsidR="000629B0" w:rsidRPr="00E709F4" w:rsidSect="00D30967">
      <w:pgSz w:w="11906" w:h="16838"/>
      <w:pgMar w:top="899" w:right="110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7DAA"/>
    <w:multiLevelType w:val="hybridMultilevel"/>
    <w:tmpl w:val="79CE6AC2"/>
    <w:lvl w:ilvl="0" w:tplc="AD08B8A8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A7334C"/>
    <w:multiLevelType w:val="hybridMultilevel"/>
    <w:tmpl w:val="E2FA24B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8F28B5"/>
    <w:multiLevelType w:val="hybridMultilevel"/>
    <w:tmpl w:val="361E90C4"/>
    <w:lvl w:ilvl="0" w:tplc="85E0686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746FE2"/>
    <w:multiLevelType w:val="hybridMultilevel"/>
    <w:tmpl w:val="7D385F12"/>
    <w:lvl w:ilvl="0" w:tplc="6190568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57C74751"/>
    <w:multiLevelType w:val="hybridMultilevel"/>
    <w:tmpl w:val="1DB8743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2E3F96"/>
    <w:rsid w:val="00055BCF"/>
    <w:rsid w:val="000629B0"/>
    <w:rsid w:val="002728A8"/>
    <w:rsid w:val="002E3F96"/>
    <w:rsid w:val="00452EDD"/>
    <w:rsid w:val="006030BE"/>
    <w:rsid w:val="0062109E"/>
    <w:rsid w:val="00811B40"/>
    <w:rsid w:val="00AD4620"/>
    <w:rsid w:val="00B178B9"/>
    <w:rsid w:val="00BB0CBD"/>
    <w:rsid w:val="00D30967"/>
    <w:rsid w:val="00E33E2C"/>
    <w:rsid w:val="00E57497"/>
    <w:rsid w:val="00E70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Examen médico-légale des taches </vt:lpstr>
    </vt:vector>
  </TitlesOfParts>
  <Company/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Examen médico-légale des taches</dc:title>
  <dc:creator>megh</dc:creator>
  <cp:lastModifiedBy>Lebane</cp:lastModifiedBy>
  <cp:revision>2</cp:revision>
  <dcterms:created xsi:type="dcterms:W3CDTF">2010-05-03T13:42:00Z</dcterms:created>
  <dcterms:modified xsi:type="dcterms:W3CDTF">2010-05-03T13:42:00Z</dcterms:modified>
</cp:coreProperties>
</file>