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E03" w:rsidRPr="0024332A" w:rsidRDefault="0024332A" w:rsidP="0024332A">
      <w:pPr>
        <w:tabs>
          <w:tab w:val="left" w:pos="2250"/>
          <w:tab w:val="center" w:pos="4486"/>
        </w:tabs>
        <w:rPr>
          <w:b/>
          <w:bCs/>
          <w:color w:val="00B0F0"/>
          <w:sz w:val="24"/>
          <w:szCs w:val="24"/>
        </w:rPr>
      </w:pPr>
      <w:r w:rsidRPr="0024332A">
        <w:rPr>
          <w:b/>
          <w:bCs/>
          <w:color w:val="00B0F0"/>
          <w:sz w:val="24"/>
          <w:szCs w:val="24"/>
        </w:rPr>
        <w:tab/>
      </w:r>
      <w:r w:rsidRPr="0024332A">
        <w:rPr>
          <w:b/>
          <w:bCs/>
          <w:color w:val="00B0F0"/>
          <w:sz w:val="24"/>
          <w:szCs w:val="24"/>
        </w:rPr>
        <w:tab/>
      </w:r>
      <w:r w:rsidR="001D7843" w:rsidRPr="0024332A">
        <w:rPr>
          <w:b/>
          <w:bCs/>
          <w:color w:val="00B0F0"/>
          <w:sz w:val="24"/>
          <w:szCs w:val="24"/>
        </w:rPr>
        <w:t>Purpura thrombopénique idiopathique</w:t>
      </w:r>
    </w:p>
    <w:p w:rsidR="001D7843" w:rsidRDefault="001D7843" w:rsidP="00262442">
      <w:pPr>
        <w:pStyle w:val="Paragraphedeliste"/>
        <w:numPr>
          <w:ilvl w:val="0"/>
          <w:numId w:val="1"/>
        </w:numPr>
      </w:pPr>
      <w:proofErr w:type="spellStart"/>
      <w:r w:rsidRPr="001D7843">
        <w:rPr>
          <w:b/>
          <w:bCs/>
        </w:rPr>
        <w:t>Sd</w:t>
      </w:r>
      <w:proofErr w:type="spellEnd"/>
      <w:r w:rsidRPr="001D7843">
        <w:rPr>
          <w:b/>
          <w:bCs/>
        </w:rPr>
        <w:t xml:space="preserve"> hémorragiques spontanés cutanés</w:t>
      </w:r>
      <w:r>
        <w:t xml:space="preserve"> </w:t>
      </w:r>
      <w:r w:rsidRPr="001D7843">
        <w:rPr>
          <w:b/>
          <w:bCs/>
          <w:highlight w:val="yellow"/>
        </w:rPr>
        <w:t>+</w:t>
      </w:r>
      <w:r>
        <w:t xml:space="preserve"> </w:t>
      </w:r>
      <w:r w:rsidRPr="001D7843">
        <w:rPr>
          <w:b/>
          <w:bCs/>
        </w:rPr>
        <w:t>Sd hémorragiques muqueux et viscéraux</w:t>
      </w:r>
      <w:r>
        <w:t xml:space="preserve"> </w:t>
      </w:r>
      <w:r w:rsidRPr="001D7843">
        <w:rPr>
          <w:b/>
          <w:bCs/>
          <w:highlight w:val="yellow"/>
        </w:rPr>
        <w:t>+</w:t>
      </w:r>
      <w:r w:rsidRPr="001D7843">
        <w:rPr>
          <w:b/>
          <w:bCs/>
        </w:rPr>
        <w:t xml:space="preserve"> thrombopénie &lt;50.000 </w:t>
      </w:r>
      <w:r>
        <w:t>due à la destruction périphérique des plaquettes sans étiologie décelable</w:t>
      </w:r>
    </w:p>
    <w:p w:rsidR="001D7843" w:rsidRDefault="001D7843" w:rsidP="001D7843">
      <w:pPr>
        <w:pStyle w:val="Paragraphedeliste"/>
        <w:numPr>
          <w:ilvl w:val="0"/>
          <w:numId w:val="1"/>
        </w:numPr>
      </w:pPr>
      <w:r>
        <w:t>Fréquente chez l’adulte jeune et l’enfant</w:t>
      </w:r>
    </w:p>
    <w:p w:rsidR="001D7843" w:rsidRPr="0024332A" w:rsidRDefault="001D7843" w:rsidP="001D7843">
      <w:pPr>
        <w:rPr>
          <w:b/>
          <w:bCs/>
          <w:color w:val="00B0F0"/>
        </w:rPr>
      </w:pPr>
      <w:r w:rsidRPr="0024332A">
        <w:rPr>
          <w:b/>
          <w:bCs/>
          <w:color w:val="00B0F0"/>
        </w:rPr>
        <w:t>Clinique :</w:t>
      </w:r>
    </w:p>
    <w:p w:rsidR="001D7843" w:rsidRDefault="001D7843" w:rsidP="00262442">
      <w:pPr>
        <w:pStyle w:val="Paragraphedeliste"/>
        <w:numPr>
          <w:ilvl w:val="0"/>
          <w:numId w:val="1"/>
        </w:numPr>
        <w:rPr>
          <w:b/>
          <w:bCs/>
        </w:rPr>
      </w:pPr>
      <w:r w:rsidRPr="00262442">
        <w:rPr>
          <w:b/>
          <w:bCs/>
        </w:rPr>
        <w:t xml:space="preserve">Début </w:t>
      </w:r>
      <w:r w:rsidRPr="00C23D23">
        <w:rPr>
          <w:b/>
          <w:bCs/>
          <w:highlight w:val="yellow"/>
        </w:rPr>
        <w:t>aigu</w:t>
      </w:r>
      <w:r w:rsidRPr="00262442">
        <w:rPr>
          <w:b/>
          <w:bCs/>
        </w:rPr>
        <w:t xml:space="preserve"> chez l’enfant et progressif chez l’adulte</w:t>
      </w:r>
    </w:p>
    <w:p w:rsidR="00C23D23" w:rsidRPr="00262442" w:rsidRDefault="00C23D23" w:rsidP="00262442">
      <w:pPr>
        <w:pStyle w:val="Paragraphedeliste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Apparait une à trois semaines après une infection virale </w:t>
      </w:r>
    </w:p>
    <w:p w:rsidR="00262442" w:rsidRDefault="00262442" w:rsidP="00262442">
      <w:pPr>
        <w:pStyle w:val="Paragraphedeliste"/>
        <w:numPr>
          <w:ilvl w:val="0"/>
          <w:numId w:val="1"/>
        </w:numPr>
      </w:pPr>
      <w:r w:rsidRPr="00262442">
        <w:rPr>
          <w:b/>
          <w:bCs/>
        </w:rPr>
        <w:t xml:space="preserve">Sd hémorragique </w:t>
      </w:r>
      <w:r w:rsidRPr="00C23D23">
        <w:rPr>
          <w:b/>
          <w:bCs/>
          <w:highlight w:val="yellow"/>
        </w:rPr>
        <w:t>spontané</w:t>
      </w:r>
      <w:r>
        <w:t xml:space="preserve"> cutané (pétéchies, ecchymoses, vibices) muqueux (bulles </w:t>
      </w:r>
      <w:proofErr w:type="spellStart"/>
      <w:r>
        <w:t>endobuccales</w:t>
      </w:r>
      <w:proofErr w:type="spellEnd"/>
      <w:r>
        <w:t>, épistaxis</w:t>
      </w:r>
      <w:proofErr w:type="gramStart"/>
      <w:r>
        <w:t>)  et</w:t>
      </w:r>
      <w:proofErr w:type="gramEnd"/>
      <w:r>
        <w:t xml:space="preserve"> viscéral (oculaires, digestives, </w:t>
      </w:r>
      <w:proofErr w:type="spellStart"/>
      <w:r>
        <w:t>cérébro</w:t>
      </w:r>
      <w:proofErr w:type="spellEnd"/>
      <w:r>
        <w:t>-méningé)</w:t>
      </w:r>
    </w:p>
    <w:p w:rsidR="00262442" w:rsidRDefault="00262442" w:rsidP="00262442">
      <w:pPr>
        <w:pStyle w:val="Paragraphedeliste"/>
        <w:numPr>
          <w:ilvl w:val="0"/>
          <w:numId w:val="1"/>
        </w:numPr>
      </w:pPr>
      <w:r w:rsidRPr="00262442">
        <w:rPr>
          <w:b/>
          <w:bCs/>
        </w:rPr>
        <w:t>Examen clinque normal</w:t>
      </w:r>
      <w:r>
        <w:t xml:space="preserve"> : </w:t>
      </w:r>
      <w:r w:rsidRPr="00C23D23">
        <w:rPr>
          <w:highlight w:val="yellow"/>
        </w:rPr>
        <w:t xml:space="preserve">absence de </w:t>
      </w:r>
      <w:proofErr w:type="spellStart"/>
      <w:r w:rsidRPr="00C23D23">
        <w:rPr>
          <w:highlight w:val="yellow"/>
        </w:rPr>
        <w:t>Sd</w:t>
      </w:r>
      <w:proofErr w:type="spellEnd"/>
      <w:r w:rsidRPr="00C23D23">
        <w:rPr>
          <w:highlight w:val="yellow"/>
        </w:rPr>
        <w:t xml:space="preserve"> infectieux, SPM, HPM</w:t>
      </w:r>
    </w:p>
    <w:p w:rsidR="00262442" w:rsidRPr="0024332A" w:rsidRDefault="00262442" w:rsidP="00262442">
      <w:pPr>
        <w:rPr>
          <w:b/>
          <w:bCs/>
          <w:color w:val="00B0F0"/>
        </w:rPr>
      </w:pPr>
      <w:r w:rsidRPr="0024332A">
        <w:rPr>
          <w:b/>
          <w:bCs/>
          <w:color w:val="00B0F0"/>
        </w:rPr>
        <w:t>Biologie :</w:t>
      </w:r>
    </w:p>
    <w:p w:rsidR="00875431" w:rsidRPr="002804CE" w:rsidRDefault="00875431" w:rsidP="00262442">
      <w:pPr>
        <w:pStyle w:val="Paragraphedeliste"/>
        <w:numPr>
          <w:ilvl w:val="0"/>
          <w:numId w:val="1"/>
        </w:numPr>
        <w:rPr>
          <w:b/>
          <w:bCs/>
        </w:rPr>
      </w:pPr>
      <w:r w:rsidRPr="002804CE">
        <w:rPr>
          <w:b/>
          <w:bCs/>
        </w:rPr>
        <w:t>NFS :</w:t>
      </w:r>
    </w:p>
    <w:p w:rsidR="00262442" w:rsidRDefault="00262442" w:rsidP="00875431">
      <w:pPr>
        <w:pStyle w:val="Paragraphedeliste"/>
        <w:numPr>
          <w:ilvl w:val="0"/>
          <w:numId w:val="3"/>
        </w:numPr>
      </w:pPr>
      <w:r>
        <w:t>Thrombopénie &lt;50.000</w:t>
      </w:r>
    </w:p>
    <w:p w:rsidR="00262442" w:rsidRDefault="00262442" w:rsidP="00875431">
      <w:pPr>
        <w:pStyle w:val="Paragraphedeliste"/>
        <w:numPr>
          <w:ilvl w:val="0"/>
          <w:numId w:val="3"/>
        </w:numPr>
      </w:pPr>
      <w:r>
        <w:t>Thrombopénie grave &lt;10.000</w:t>
      </w:r>
    </w:p>
    <w:p w:rsidR="00262442" w:rsidRDefault="00875431" w:rsidP="00875431">
      <w:pPr>
        <w:pStyle w:val="Paragraphedeliste"/>
        <w:numPr>
          <w:ilvl w:val="0"/>
          <w:numId w:val="2"/>
        </w:numPr>
      </w:pPr>
      <w:r>
        <w:t xml:space="preserve">Anémie normocytaire normochrome régénérative </w:t>
      </w:r>
    </w:p>
    <w:p w:rsidR="00875431" w:rsidRDefault="00875431" w:rsidP="00875431">
      <w:pPr>
        <w:pStyle w:val="Paragraphedeliste"/>
        <w:numPr>
          <w:ilvl w:val="0"/>
          <w:numId w:val="4"/>
        </w:numPr>
      </w:pPr>
      <w:r>
        <w:t>Si hémorragie récente abondante : macrocytaire</w:t>
      </w:r>
    </w:p>
    <w:p w:rsidR="00875431" w:rsidRDefault="00875431" w:rsidP="00875431">
      <w:pPr>
        <w:pStyle w:val="Paragraphedeliste"/>
        <w:numPr>
          <w:ilvl w:val="0"/>
          <w:numId w:val="4"/>
        </w:numPr>
      </w:pPr>
      <w:r>
        <w:t>Si hémorragie prolongée : microcytaire</w:t>
      </w:r>
    </w:p>
    <w:p w:rsidR="00875431" w:rsidRDefault="00875431" w:rsidP="00875431">
      <w:pPr>
        <w:pStyle w:val="Paragraphedeliste"/>
        <w:numPr>
          <w:ilvl w:val="0"/>
          <w:numId w:val="2"/>
        </w:numPr>
      </w:pPr>
      <w:r>
        <w:t>Hyperleucocytose d’entrainement</w:t>
      </w:r>
    </w:p>
    <w:p w:rsidR="00875431" w:rsidRDefault="00875431" w:rsidP="00875431">
      <w:pPr>
        <w:pStyle w:val="Paragraphedeliste"/>
        <w:ind w:left="1080"/>
      </w:pPr>
    </w:p>
    <w:p w:rsidR="00875431" w:rsidRPr="002804CE" w:rsidRDefault="00875431" w:rsidP="00875431">
      <w:pPr>
        <w:pStyle w:val="Paragraphedeliste"/>
        <w:numPr>
          <w:ilvl w:val="0"/>
          <w:numId w:val="1"/>
        </w:numPr>
        <w:rPr>
          <w:b/>
          <w:bCs/>
        </w:rPr>
      </w:pPr>
      <w:r w:rsidRPr="002804CE">
        <w:rPr>
          <w:b/>
          <w:bCs/>
        </w:rPr>
        <w:t>Frottis :</w:t>
      </w:r>
    </w:p>
    <w:p w:rsidR="00875431" w:rsidRDefault="00875431" w:rsidP="00875431">
      <w:pPr>
        <w:pStyle w:val="Paragraphedeliste"/>
        <w:numPr>
          <w:ilvl w:val="0"/>
          <w:numId w:val="2"/>
        </w:numPr>
      </w:pPr>
      <w:r>
        <w:t xml:space="preserve"> confirme la thrombopénie, plaquettes de grande taille</w:t>
      </w:r>
    </w:p>
    <w:p w:rsidR="00875431" w:rsidRDefault="00875431" w:rsidP="00875431">
      <w:pPr>
        <w:pStyle w:val="Paragraphedeliste"/>
        <w:numPr>
          <w:ilvl w:val="0"/>
          <w:numId w:val="2"/>
        </w:numPr>
      </w:pPr>
      <w:r>
        <w:t>Légère myélémie &lt;10%</w:t>
      </w:r>
    </w:p>
    <w:p w:rsidR="00875431" w:rsidRDefault="00875431" w:rsidP="00875431">
      <w:pPr>
        <w:pStyle w:val="Paragraphedeliste"/>
        <w:numPr>
          <w:ilvl w:val="0"/>
          <w:numId w:val="1"/>
        </w:numPr>
      </w:pPr>
      <w:r w:rsidRPr="002804CE">
        <w:rPr>
          <w:b/>
          <w:bCs/>
        </w:rPr>
        <w:t>Médullogramme</w:t>
      </w:r>
      <w:r>
        <w:t xml:space="preserve"> </w:t>
      </w:r>
      <w:r w:rsidRPr="008844BC">
        <w:rPr>
          <w:highlight w:val="yellow"/>
        </w:rPr>
        <w:t>indispensable devant toute thrombopénie isolée</w:t>
      </w:r>
      <w:r>
        <w:t xml:space="preserve"> =&gt; préciser l’origine centrale ou périphérique </w:t>
      </w:r>
    </w:p>
    <w:p w:rsidR="00875431" w:rsidRDefault="00875431" w:rsidP="00875431">
      <w:pPr>
        <w:pStyle w:val="Paragraphedeliste"/>
        <w:numPr>
          <w:ilvl w:val="0"/>
          <w:numId w:val="2"/>
        </w:numPr>
      </w:pPr>
      <w:r>
        <w:t xml:space="preserve">Si thrombopénie périphérique : moelle normale, lignées </w:t>
      </w:r>
      <w:proofErr w:type="spellStart"/>
      <w:r>
        <w:t>érythroblastiques</w:t>
      </w:r>
      <w:proofErr w:type="spellEnd"/>
      <w:r>
        <w:t xml:space="preserve"> et granuleuses normales avec richesse </w:t>
      </w:r>
      <w:r w:rsidRPr="008844BC">
        <w:rPr>
          <w:highlight w:val="yellow"/>
        </w:rPr>
        <w:t>importante en mégacaryocytes</w:t>
      </w:r>
      <w:r>
        <w:t xml:space="preserve"> de grande taille</w:t>
      </w:r>
    </w:p>
    <w:p w:rsidR="00875431" w:rsidRPr="002804CE" w:rsidRDefault="00875431" w:rsidP="00875431">
      <w:pPr>
        <w:pStyle w:val="Paragraphedeliste"/>
        <w:numPr>
          <w:ilvl w:val="0"/>
          <w:numId w:val="1"/>
        </w:numPr>
        <w:rPr>
          <w:b/>
          <w:bCs/>
        </w:rPr>
      </w:pPr>
      <w:r w:rsidRPr="002804CE">
        <w:rPr>
          <w:b/>
          <w:bCs/>
        </w:rPr>
        <w:t xml:space="preserve">Bilan </w:t>
      </w:r>
      <w:r w:rsidR="002804CE" w:rsidRPr="002804CE">
        <w:rPr>
          <w:b/>
          <w:bCs/>
        </w:rPr>
        <w:t>d’hémostase</w:t>
      </w:r>
      <w:r w:rsidRPr="002804CE">
        <w:rPr>
          <w:b/>
          <w:bCs/>
        </w:rPr>
        <w:t> :</w:t>
      </w:r>
    </w:p>
    <w:p w:rsidR="002804CE" w:rsidRDefault="002804CE" w:rsidP="002804CE">
      <w:pPr>
        <w:pStyle w:val="Paragraphedeliste"/>
        <w:numPr>
          <w:ilvl w:val="0"/>
          <w:numId w:val="2"/>
        </w:numPr>
      </w:pPr>
      <w:r>
        <w:t>Temps de saignement augmenté</w:t>
      </w:r>
    </w:p>
    <w:p w:rsidR="002804CE" w:rsidRDefault="002804CE" w:rsidP="002804CE">
      <w:pPr>
        <w:pStyle w:val="Paragraphedeliste"/>
        <w:numPr>
          <w:ilvl w:val="0"/>
          <w:numId w:val="2"/>
        </w:numPr>
      </w:pPr>
      <w:r>
        <w:t>TP et TCA normaux</w:t>
      </w:r>
    </w:p>
    <w:p w:rsidR="002804CE" w:rsidRDefault="002804CE" w:rsidP="002804CE">
      <w:pPr>
        <w:pStyle w:val="Paragraphedeliste"/>
        <w:numPr>
          <w:ilvl w:val="0"/>
          <w:numId w:val="1"/>
        </w:numPr>
      </w:pPr>
      <w:r w:rsidRPr="002804CE">
        <w:rPr>
          <w:b/>
          <w:bCs/>
        </w:rPr>
        <w:t>Test de Dixon :</w:t>
      </w:r>
      <w:r>
        <w:t xml:space="preserve"> présence quasi </w:t>
      </w:r>
      <w:r w:rsidRPr="008844BC">
        <w:rPr>
          <w:highlight w:val="yellow"/>
        </w:rPr>
        <w:t>constante d’IgG fixés sur la surface des plaquettes</w:t>
      </w:r>
      <w:r>
        <w:t xml:space="preserve"> 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235"/>
        <w:gridCol w:w="3395"/>
        <w:gridCol w:w="2816"/>
      </w:tblGrid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Caractères </w:t>
            </w:r>
          </w:p>
        </w:tc>
        <w:tc>
          <w:tcPr>
            <w:tcW w:w="339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Aigue </w:t>
            </w:r>
          </w:p>
        </w:tc>
        <w:tc>
          <w:tcPr>
            <w:tcW w:w="2816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Chronique 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>Age</w:t>
            </w:r>
          </w:p>
        </w:tc>
        <w:tc>
          <w:tcPr>
            <w:tcW w:w="3395" w:type="dxa"/>
          </w:tcPr>
          <w:p w:rsidR="002804CE" w:rsidRDefault="002804CE" w:rsidP="002804CE">
            <w:r>
              <w:t>2-6 ans</w:t>
            </w:r>
          </w:p>
        </w:tc>
        <w:tc>
          <w:tcPr>
            <w:tcW w:w="2816" w:type="dxa"/>
          </w:tcPr>
          <w:p w:rsidR="002804CE" w:rsidRDefault="002804CE" w:rsidP="002804CE">
            <w:r>
              <w:t>Adulte jeune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Sexe </w:t>
            </w:r>
          </w:p>
        </w:tc>
        <w:tc>
          <w:tcPr>
            <w:tcW w:w="3395" w:type="dxa"/>
          </w:tcPr>
          <w:p w:rsidR="002804CE" w:rsidRDefault="002804CE" w:rsidP="002804CE">
            <w:r>
              <w:t>H=F</w:t>
            </w:r>
          </w:p>
        </w:tc>
        <w:tc>
          <w:tcPr>
            <w:tcW w:w="2816" w:type="dxa"/>
          </w:tcPr>
          <w:p w:rsidR="002804CE" w:rsidRDefault="002804CE" w:rsidP="002804CE">
            <w:r>
              <w:t>3F = 1H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>ATCD infectieux</w:t>
            </w:r>
          </w:p>
        </w:tc>
        <w:tc>
          <w:tcPr>
            <w:tcW w:w="3395" w:type="dxa"/>
          </w:tcPr>
          <w:p w:rsidR="002804CE" w:rsidRDefault="002804CE" w:rsidP="002804CE">
            <w:r>
              <w:t>Notion d’infection 1-3s avant l’apparition du purpura</w:t>
            </w:r>
          </w:p>
        </w:tc>
        <w:tc>
          <w:tcPr>
            <w:tcW w:w="2816" w:type="dxa"/>
          </w:tcPr>
          <w:p w:rsidR="002804CE" w:rsidRDefault="002804CE" w:rsidP="002804CE">
            <w:r>
              <w:t>Aucune notion d’infection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Début </w:t>
            </w:r>
          </w:p>
        </w:tc>
        <w:tc>
          <w:tcPr>
            <w:tcW w:w="3395" w:type="dxa"/>
          </w:tcPr>
          <w:p w:rsidR="002804CE" w:rsidRDefault="002804CE" w:rsidP="002804CE">
            <w:r>
              <w:t xml:space="preserve">Brutal </w:t>
            </w:r>
          </w:p>
        </w:tc>
        <w:tc>
          <w:tcPr>
            <w:tcW w:w="2816" w:type="dxa"/>
          </w:tcPr>
          <w:p w:rsidR="002804CE" w:rsidRDefault="002804CE" w:rsidP="002804CE">
            <w:r>
              <w:t xml:space="preserve">Insidieux 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Bulles </w:t>
            </w:r>
            <w:proofErr w:type="spellStart"/>
            <w:r w:rsidRPr="008844BC">
              <w:rPr>
                <w:b/>
                <w:bCs/>
              </w:rPr>
              <w:t>endo</w:t>
            </w:r>
            <w:proofErr w:type="spellEnd"/>
            <w:r w:rsidRPr="008844BC">
              <w:rPr>
                <w:b/>
                <w:bCs/>
              </w:rPr>
              <w:t xml:space="preserve"> buccales </w:t>
            </w:r>
          </w:p>
        </w:tc>
        <w:tc>
          <w:tcPr>
            <w:tcW w:w="3395" w:type="dxa"/>
          </w:tcPr>
          <w:p w:rsidR="002804CE" w:rsidRDefault="002804CE" w:rsidP="002804CE">
            <w:r>
              <w:t>s. de gravité</w:t>
            </w:r>
          </w:p>
        </w:tc>
        <w:tc>
          <w:tcPr>
            <w:tcW w:w="2816" w:type="dxa"/>
          </w:tcPr>
          <w:p w:rsidR="002804CE" w:rsidRDefault="002804CE" w:rsidP="002804CE">
            <w:r>
              <w:t>Absentes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Plaquettes </w:t>
            </w:r>
          </w:p>
        </w:tc>
        <w:tc>
          <w:tcPr>
            <w:tcW w:w="3395" w:type="dxa"/>
          </w:tcPr>
          <w:p w:rsidR="002804CE" w:rsidRDefault="002804CE" w:rsidP="002804CE">
            <w:r>
              <w:t>&lt; 20.000</w:t>
            </w:r>
          </w:p>
        </w:tc>
        <w:tc>
          <w:tcPr>
            <w:tcW w:w="2816" w:type="dxa"/>
          </w:tcPr>
          <w:p w:rsidR="002804CE" w:rsidRDefault="002804CE" w:rsidP="002804CE">
            <w:r>
              <w:t>30.000-80.000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 xml:space="preserve">Durée </w:t>
            </w:r>
          </w:p>
        </w:tc>
        <w:tc>
          <w:tcPr>
            <w:tcW w:w="3395" w:type="dxa"/>
          </w:tcPr>
          <w:p w:rsidR="002804CE" w:rsidRDefault="002804CE" w:rsidP="002804CE">
            <w:r>
              <w:t>2-6 semaines</w:t>
            </w:r>
          </w:p>
        </w:tc>
        <w:tc>
          <w:tcPr>
            <w:tcW w:w="2816" w:type="dxa"/>
          </w:tcPr>
          <w:p w:rsidR="002804CE" w:rsidRDefault="002804CE" w:rsidP="002804CE">
            <w:r>
              <w:t>&gt; 6 mois</w:t>
            </w:r>
          </w:p>
        </w:tc>
      </w:tr>
      <w:tr w:rsidR="002804CE" w:rsidTr="008844BC">
        <w:tc>
          <w:tcPr>
            <w:tcW w:w="2235" w:type="dxa"/>
          </w:tcPr>
          <w:p w:rsidR="002804CE" w:rsidRPr="008844BC" w:rsidRDefault="002804CE" w:rsidP="002804CE">
            <w:pPr>
              <w:rPr>
                <w:b/>
                <w:bCs/>
              </w:rPr>
            </w:pPr>
            <w:r w:rsidRPr="008844BC">
              <w:rPr>
                <w:b/>
                <w:bCs/>
              </w:rPr>
              <w:t>évolution</w:t>
            </w:r>
          </w:p>
        </w:tc>
        <w:tc>
          <w:tcPr>
            <w:tcW w:w="3395" w:type="dxa"/>
          </w:tcPr>
          <w:p w:rsidR="002804CE" w:rsidRDefault="002804CE" w:rsidP="002804CE">
            <w:r>
              <w:t>spontanément favorable 80% des cas</w:t>
            </w:r>
          </w:p>
        </w:tc>
        <w:tc>
          <w:tcPr>
            <w:tcW w:w="2816" w:type="dxa"/>
          </w:tcPr>
          <w:p w:rsidR="002804CE" w:rsidRDefault="002804CE" w:rsidP="002804CE">
            <w:r>
              <w:t xml:space="preserve">Variable </w:t>
            </w:r>
          </w:p>
        </w:tc>
      </w:tr>
    </w:tbl>
    <w:p w:rsidR="008844BC" w:rsidRDefault="008844BC" w:rsidP="002804CE"/>
    <w:p w:rsidR="002804CE" w:rsidRDefault="00A00400" w:rsidP="002804CE">
      <w:r w:rsidRPr="0024332A">
        <w:rPr>
          <w:b/>
          <w:bCs/>
          <w:color w:val="00B0F0"/>
        </w:rPr>
        <w:t>Diagnostic positif </w:t>
      </w:r>
      <w:r w:rsidRPr="0024332A">
        <w:rPr>
          <w:color w:val="00B0F0"/>
        </w:rPr>
        <w:t>:</w:t>
      </w:r>
      <w:r>
        <w:t xml:space="preserve"> 5 critères</w:t>
      </w:r>
    </w:p>
    <w:p w:rsidR="00A00400" w:rsidRDefault="00A00400" w:rsidP="00A00400">
      <w:pPr>
        <w:pStyle w:val="Paragraphedeliste"/>
        <w:numPr>
          <w:ilvl w:val="0"/>
          <w:numId w:val="2"/>
        </w:numPr>
      </w:pPr>
      <w:r>
        <w:t>Thrombopénie</w:t>
      </w:r>
    </w:p>
    <w:p w:rsidR="00A00400" w:rsidRDefault="00A00400" w:rsidP="00A00400">
      <w:pPr>
        <w:pStyle w:val="Paragraphedeliste"/>
        <w:numPr>
          <w:ilvl w:val="0"/>
          <w:numId w:val="2"/>
        </w:numPr>
      </w:pPr>
      <w:r>
        <w:t>Richesse de la MO en mégacaryocytes</w:t>
      </w:r>
    </w:p>
    <w:p w:rsidR="00A00400" w:rsidRDefault="00A00400" w:rsidP="00A00400">
      <w:pPr>
        <w:pStyle w:val="Paragraphedeliste"/>
        <w:numPr>
          <w:ilvl w:val="0"/>
          <w:numId w:val="2"/>
        </w:numPr>
      </w:pPr>
      <w:r>
        <w:t>Absence d’étiologies</w:t>
      </w:r>
    </w:p>
    <w:p w:rsidR="00A00400" w:rsidRDefault="00A00400" w:rsidP="00A00400">
      <w:pPr>
        <w:pStyle w:val="Paragraphedeliste"/>
        <w:numPr>
          <w:ilvl w:val="0"/>
          <w:numId w:val="2"/>
        </w:numPr>
      </w:pPr>
      <w:r>
        <w:t>Absence de SPM</w:t>
      </w:r>
    </w:p>
    <w:p w:rsidR="00A00400" w:rsidRDefault="00A00400" w:rsidP="00A00400">
      <w:pPr>
        <w:pStyle w:val="Paragraphedeliste"/>
        <w:numPr>
          <w:ilvl w:val="0"/>
          <w:numId w:val="2"/>
        </w:numPr>
      </w:pPr>
      <w:r>
        <w:t>Test Dixon positif</w:t>
      </w:r>
    </w:p>
    <w:p w:rsidR="002103DD" w:rsidRPr="0024332A" w:rsidRDefault="002103DD" w:rsidP="002103DD">
      <w:pPr>
        <w:rPr>
          <w:b/>
          <w:bCs/>
          <w:color w:val="00B0F0"/>
        </w:rPr>
      </w:pPr>
      <w:r w:rsidRPr="0024332A">
        <w:rPr>
          <w:b/>
          <w:bCs/>
          <w:color w:val="00B0F0"/>
        </w:rPr>
        <w:t xml:space="preserve">Diagnostic différentiel : </w:t>
      </w:r>
    </w:p>
    <w:p w:rsidR="002103DD" w:rsidRDefault="002103DD" w:rsidP="002103DD">
      <w:pPr>
        <w:pStyle w:val="Paragraphedeliste"/>
        <w:numPr>
          <w:ilvl w:val="0"/>
          <w:numId w:val="1"/>
        </w:numPr>
      </w:pPr>
      <w:r w:rsidRPr="008844BC">
        <w:rPr>
          <w:color w:val="FF0000"/>
        </w:rPr>
        <w:t>thrombopénie central</w:t>
      </w:r>
      <w:r>
        <w:t> (insuffisance médullaire, leucémie aigue, métastases médullaires) : NFS pancytopénie, médullogramme mégacaryocytes rares ou absents</w:t>
      </w:r>
    </w:p>
    <w:p w:rsidR="002103DD" w:rsidRDefault="002103DD" w:rsidP="002103DD">
      <w:pPr>
        <w:pStyle w:val="Paragraphedeliste"/>
        <w:numPr>
          <w:ilvl w:val="0"/>
          <w:numId w:val="1"/>
        </w:numPr>
      </w:pPr>
      <w:r w:rsidRPr="008844BC">
        <w:rPr>
          <w:color w:val="FF0000"/>
        </w:rPr>
        <w:t>élimin</w:t>
      </w:r>
      <w:r w:rsidR="009E0059" w:rsidRPr="008844BC">
        <w:rPr>
          <w:color w:val="FF0000"/>
        </w:rPr>
        <w:t>er les autres thrombopénies périphériques</w:t>
      </w:r>
      <w:r w:rsidR="009E0059">
        <w:t> :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hypersplénisme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 xml:space="preserve">perte sanguine excessive 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diminution de la durée de vie des plaquettes (CIVD, destruction immunologique, médicamenteuse)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maladies générales : LED, leucémie lymphoïde chronique, anémie hémolytique</w:t>
      </w:r>
    </w:p>
    <w:p w:rsidR="009E0059" w:rsidRPr="0024332A" w:rsidRDefault="009E0059" w:rsidP="009E0059">
      <w:pPr>
        <w:rPr>
          <w:b/>
          <w:bCs/>
          <w:color w:val="00B0F0"/>
          <w:sz w:val="24"/>
          <w:szCs w:val="24"/>
        </w:rPr>
      </w:pPr>
      <w:r w:rsidRPr="0024332A">
        <w:rPr>
          <w:b/>
          <w:bCs/>
          <w:color w:val="00B0F0"/>
          <w:sz w:val="24"/>
          <w:szCs w:val="24"/>
        </w:rPr>
        <w:t xml:space="preserve">Traitement : </w:t>
      </w:r>
    </w:p>
    <w:p w:rsidR="009E0059" w:rsidRPr="008844BC" w:rsidRDefault="009E0059" w:rsidP="009E0059">
      <w:pPr>
        <w:pStyle w:val="Paragraphedeliste"/>
        <w:numPr>
          <w:ilvl w:val="0"/>
          <w:numId w:val="1"/>
        </w:numPr>
        <w:rPr>
          <w:b/>
          <w:bCs/>
        </w:rPr>
      </w:pPr>
      <w:r w:rsidRPr="008844BC">
        <w:rPr>
          <w:b/>
          <w:bCs/>
        </w:rPr>
        <w:t>TRT symptomatique :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Proscrire l’activité physique et les médicaments interférant avec l’hémostase primaire (Aspirine)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Transfusion sanguine si anémie sévère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 xml:space="preserve">Progestatifs pour bloquer le cycle féminin </w:t>
      </w:r>
    </w:p>
    <w:p w:rsidR="009E0059" w:rsidRPr="008844BC" w:rsidRDefault="009E0059" w:rsidP="009E0059">
      <w:pPr>
        <w:pStyle w:val="Paragraphedeliste"/>
        <w:numPr>
          <w:ilvl w:val="0"/>
          <w:numId w:val="1"/>
        </w:numPr>
        <w:rPr>
          <w:b/>
          <w:bCs/>
        </w:rPr>
      </w:pPr>
      <w:r w:rsidRPr="008844BC">
        <w:rPr>
          <w:b/>
          <w:bCs/>
        </w:rPr>
        <w:t>TRT spécifique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CTC 1mg/kg/j pendant 3-4semaine</w:t>
      </w:r>
    </w:p>
    <w:p w:rsidR="009E0059" w:rsidRDefault="009E0059" w:rsidP="00AC0374">
      <w:pPr>
        <w:pStyle w:val="Paragraphedeliste"/>
        <w:numPr>
          <w:ilvl w:val="0"/>
          <w:numId w:val="4"/>
        </w:numPr>
      </w:pPr>
      <w:r>
        <w:t xml:space="preserve">Si réponse + </w:t>
      </w:r>
      <w:r w:rsidR="00AC0374">
        <w:t xml:space="preserve">(disparition du Sd hémorragique en 1-2j et NFS normale en 7-8j) </w:t>
      </w:r>
      <w:r>
        <w:t>=&gt; diminuer les doses progr</w:t>
      </w:r>
      <w:r w:rsidR="00AC0374">
        <w:t>e</w:t>
      </w:r>
      <w:r>
        <w:t>ssivement</w:t>
      </w:r>
    </w:p>
    <w:p w:rsidR="009E0059" w:rsidRDefault="009E0059" w:rsidP="009E0059">
      <w:pPr>
        <w:pStyle w:val="Paragraphedeliste"/>
        <w:numPr>
          <w:ilvl w:val="0"/>
          <w:numId w:val="4"/>
        </w:numPr>
      </w:pPr>
      <w:r>
        <w:t>Si réponse - =&gt; diminuer les doses rapidement jusqu’à l’arrêt et maintenir une dose hémostatique 0.25mg/kg/j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proofErr w:type="spellStart"/>
      <w:r>
        <w:t>Ig</w:t>
      </w:r>
      <w:proofErr w:type="spellEnd"/>
      <w:r>
        <w:t xml:space="preserve"> polyvalents chez l’enfant</w:t>
      </w:r>
    </w:p>
    <w:p w:rsidR="009E0059" w:rsidRDefault="009E0059" w:rsidP="009E0059">
      <w:pPr>
        <w:pStyle w:val="Paragraphedeliste"/>
        <w:numPr>
          <w:ilvl w:val="0"/>
          <w:numId w:val="2"/>
        </w:numPr>
      </w:pPr>
      <w:r>
        <w:t>Splénectomie</w:t>
      </w:r>
      <w:r w:rsidR="00AC0374">
        <w:t> : CI avant l’âge de 6ans</w:t>
      </w:r>
    </w:p>
    <w:p w:rsidR="00AC0374" w:rsidRDefault="00AC0374" w:rsidP="009E0059">
      <w:pPr>
        <w:pStyle w:val="Paragraphedeliste"/>
        <w:numPr>
          <w:ilvl w:val="0"/>
          <w:numId w:val="2"/>
        </w:numPr>
      </w:pPr>
      <w:r>
        <w:t xml:space="preserve">Chimiothérapie : </w:t>
      </w:r>
      <w:proofErr w:type="spellStart"/>
      <w:r>
        <w:t>Endoxan</w:t>
      </w:r>
      <w:proofErr w:type="spellEnd"/>
    </w:p>
    <w:p w:rsidR="00AC0374" w:rsidRPr="0024332A" w:rsidRDefault="00AC0374" w:rsidP="00AC0374">
      <w:pPr>
        <w:rPr>
          <w:color w:val="00B0F0"/>
        </w:rPr>
      </w:pPr>
      <w:bookmarkStart w:id="0" w:name="_GoBack"/>
      <w:r w:rsidRPr="0024332A">
        <w:rPr>
          <w:color w:val="00B0F0"/>
        </w:rPr>
        <w:t>Résultats :</w:t>
      </w:r>
    </w:p>
    <w:bookmarkEnd w:id="0"/>
    <w:p w:rsidR="00AC0374" w:rsidRDefault="00AC0374" w:rsidP="00AC0374">
      <w:pPr>
        <w:pStyle w:val="Paragraphedeliste"/>
        <w:numPr>
          <w:ilvl w:val="0"/>
          <w:numId w:val="1"/>
        </w:numPr>
      </w:pPr>
      <w:r>
        <w:t>La réponse dépend de l’âge</w:t>
      </w:r>
    </w:p>
    <w:p w:rsidR="00AC0374" w:rsidRDefault="00AC0374" w:rsidP="00AC0374">
      <w:pPr>
        <w:pStyle w:val="Paragraphedeliste"/>
        <w:numPr>
          <w:ilvl w:val="0"/>
          <w:numId w:val="2"/>
        </w:numPr>
      </w:pPr>
      <w:r>
        <w:t>Enfants : 80% rémission spontanée</w:t>
      </w:r>
    </w:p>
    <w:p w:rsidR="00AC0374" w:rsidRDefault="00AC0374" w:rsidP="00AC0374">
      <w:pPr>
        <w:pStyle w:val="Paragraphedeliste"/>
        <w:numPr>
          <w:ilvl w:val="0"/>
          <w:numId w:val="2"/>
        </w:numPr>
      </w:pPr>
      <w:r>
        <w:t>Adultes :</w:t>
      </w:r>
    </w:p>
    <w:p w:rsidR="00AC0374" w:rsidRDefault="00AC0374" w:rsidP="00AC0374">
      <w:pPr>
        <w:pStyle w:val="Paragraphedeliste"/>
        <w:numPr>
          <w:ilvl w:val="0"/>
          <w:numId w:val="4"/>
        </w:numPr>
      </w:pPr>
      <w:r>
        <w:t>1/3 rémission complète</w:t>
      </w:r>
    </w:p>
    <w:p w:rsidR="00AC0374" w:rsidRDefault="00AC0374" w:rsidP="00AC0374">
      <w:pPr>
        <w:pStyle w:val="Paragraphedeliste"/>
        <w:numPr>
          <w:ilvl w:val="0"/>
          <w:numId w:val="4"/>
        </w:numPr>
      </w:pPr>
      <w:r>
        <w:t>1/3 rémission partielle</w:t>
      </w:r>
    </w:p>
    <w:p w:rsidR="00AC0374" w:rsidRDefault="00AC0374" w:rsidP="00AC0374">
      <w:pPr>
        <w:pStyle w:val="Paragraphedeliste"/>
        <w:numPr>
          <w:ilvl w:val="0"/>
          <w:numId w:val="4"/>
        </w:numPr>
      </w:pPr>
      <w:r>
        <w:t>1/3 échec =&gt; splénectomie</w:t>
      </w:r>
    </w:p>
    <w:p w:rsidR="00AC0374" w:rsidRDefault="00AC0374" w:rsidP="00EA4BDA">
      <w:pPr>
        <w:pStyle w:val="Paragraphedeliste"/>
      </w:pPr>
    </w:p>
    <w:p w:rsidR="002103DD" w:rsidRDefault="002103DD" w:rsidP="002103DD"/>
    <w:sectPr w:rsidR="002103DD" w:rsidSect="00A00400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6446F9"/>
    <w:multiLevelType w:val="hybridMultilevel"/>
    <w:tmpl w:val="CD9443A6"/>
    <w:lvl w:ilvl="0" w:tplc="9F445EA8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4C0481"/>
    <w:multiLevelType w:val="hybridMultilevel"/>
    <w:tmpl w:val="9112CC8E"/>
    <w:lvl w:ilvl="0" w:tplc="5D86423A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276F18D9"/>
    <w:multiLevelType w:val="hybridMultilevel"/>
    <w:tmpl w:val="17C685CA"/>
    <w:lvl w:ilvl="0" w:tplc="D146FEAE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226EC6"/>
    <w:multiLevelType w:val="hybridMultilevel"/>
    <w:tmpl w:val="33E2B3EE"/>
    <w:lvl w:ilvl="0" w:tplc="90B6418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D7843"/>
    <w:rsid w:val="000A0B6C"/>
    <w:rsid w:val="00116D2B"/>
    <w:rsid w:val="001D7843"/>
    <w:rsid w:val="002103DD"/>
    <w:rsid w:val="0024332A"/>
    <w:rsid w:val="00262442"/>
    <w:rsid w:val="002804CE"/>
    <w:rsid w:val="002B0E03"/>
    <w:rsid w:val="00875431"/>
    <w:rsid w:val="008844BC"/>
    <w:rsid w:val="009E0059"/>
    <w:rsid w:val="00A00400"/>
    <w:rsid w:val="00AC0374"/>
    <w:rsid w:val="00C23D23"/>
    <w:rsid w:val="00D21FF0"/>
    <w:rsid w:val="00EA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5F1E87-CCB0-4B55-ACA9-64F06707A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E0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D7843"/>
    <w:pPr>
      <w:ind w:left="720"/>
      <w:contextualSpacing/>
    </w:pPr>
  </w:style>
  <w:style w:type="table" w:styleId="Grilledutableau">
    <w:name w:val="Table Grid"/>
    <w:basedOn w:val="TableauNormal"/>
    <w:uiPriority w:val="59"/>
    <w:rsid w:val="002804C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433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33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yacin</cp:lastModifiedBy>
  <cp:revision>7</cp:revision>
  <cp:lastPrinted>2015-05-05T13:05:00Z</cp:lastPrinted>
  <dcterms:created xsi:type="dcterms:W3CDTF">2010-03-05T15:04:00Z</dcterms:created>
  <dcterms:modified xsi:type="dcterms:W3CDTF">2015-05-05T13:06:00Z</dcterms:modified>
</cp:coreProperties>
</file>