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A38" w:rsidRPr="00AE2208" w:rsidRDefault="00AE2208" w:rsidP="00AE2208">
      <w:pPr>
        <w:spacing w:after="0"/>
        <w:rPr>
          <w:b/>
          <w:bCs/>
          <w:sz w:val="28"/>
          <w:szCs w:val="28"/>
          <w:u w:val="single"/>
        </w:rPr>
      </w:pPr>
      <w:r w:rsidRPr="00AE2208">
        <w:rPr>
          <w:b/>
          <w:bCs/>
          <w:sz w:val="28"/>
          <w:szCs w:val="28"/>
          <w:u w:val="single"/>
        </w:rPr>
        <w:t>EPIDEMIOLOGIE</w:t>
      </w:r>
    </w:p>
    <w:p w:rsidR="004C5FCD" w:rsidRDefault="004C5FCD" w:rsidP="00AE2208">
      <w:pPr>
        <w:spacing w:after="0"/>
      </w:pPr>
      <w:r>
        <w:t>Fréquent : 1 % de la population</w:t>
      </w:r>
    </w:p>
    <w:p w:rsidR="004C5FCD" w:rsidRDefault="004C5FCD" w:rsidP="00AE2208">
      <w:pPr>
        <w:spacing w:after="0"/>
      </w:pPr>
      <w:r>
        <w:t>1/3 des cas sont familiaux</w:t>
      </w:r>
    </w:p>
    <w:p w:rsidR="00566360" w:rsidRDefault="00566360" w:rsidP="00AE2208">
      <w:pPr>
        <w:spacing w:after="0"/>
      </w:pPr>
    </w:p>
    <w:p w:rsidR="002925D1" w:rsidRPr="00AE2208" w:rsidRDefault="00AE2208" w:rsidP="00AE2208">
      <w:pPr>
        <w:spacing w:after="0"/>
        <w:rPr>
          <w:b/>
          <w:bCs/>
          <w:sz w:val="28"/>
          <w:szCs w:val="28"/>
          <w:u w:val="single"/>
        </w:rPr>
      </w:pPr>
      <w:r w:rsidRPr="00AE2208">
        <w:rPr>
          <w:b/>
          <w:bCs/>
          <w:sz w:val="28"/>
          <w:szCs w:val="28"/>
          <w:u w:val="single"/>
        </w:rPr>
        <w:t>CLINIQUE</w:t>
      </w:r>
    </w:p>
    <w:p w:rsidR="00837288" w:rsidRPr="00566360" w:rsidRDefault="006A7AB1" w:rsidP="00AE2208">
      <w:pPr>
        <w:spacing w:after="0"/>
        <w:rPr>
          <w:b/>
          <w:bCs/>
          <w:sz w:val="24"/>
          <w:szCs w:val="24"/>
          <w:u w:val="single"/>
        </w:rPr>
      </w:pPr>
      <w:r w:rsidRPr="00566360">
        <w:rPr>
          <w:b/>
          <w:bCs/>
          <w:sz w:val="24"/>
          <w:szCs w:val="24"/>
          <w:u w:val="single"/>
        </w:rPr>
        <w:t xml:space="preserve">1. </w:t>
      </w:r>
      <w:r w:rsidR="00837288" w:rsidRPr="00566360">
        <w:rPr>
          <w:b/>
          <w:bCs/>
          <w:sz w:val="24"/>
          <w:szCs w:val="24"/>
          <w:u w:val="single"/>
        </w:rPr>
        <w:t>La lésion élémentaire :</w:t>
      </w:r>
    </w:p>
    <w:p w:rsidR="00D1400C" w:rsidRDefault="006A7AB1" w:rsidP="00AE2208">
      <w:pPr>
        <w:spacing w:after="0"/>
      </w:pPr>
      <w:r>
        <w:t xml:space="preserve">- </w:t>
      </w:r>
      <w:r w:rsidR="00D1400C">
        <w:t>Macule achromique</w:t>
      </w:r>
    </w:p>
    <w:p w:rsidR="00D1400C" w:rsidRDefault="006A7AB1" w:rsidP="00AE2208">
      <w:pPr>
        <w:spacing w:after="0"/>
      </w:pPr>
      <w:r>
        <w:t xml:space="preserve">- </w:t>
      </w:r>
      <w:r w:rsidR="003B787C">
        <w:t>Ni atrophie, ni hyperkératose</w:t>
      </w:r>
    </w:p>
    <w:p w:rsidR="003B787C" w:rsidRDefault="006A7AB1" w:rsidP="00AE2208">
      <w:pPr>
        <w:spacing w:after="0"/>
      </w:pPr>
      <w:r>
        <w:t xml:space="preserve">- </w:t>
      </w:r>
      <w:r w:rsidR="003B787C">
        <w:t xml:space="preserve">Bords nets, convexes, irréguliers, </w:t>
      </w:r>
      <w:r w:rsidR="006617E4">
        <w:t>parfois</w:t>
      </w:r>
      <w:r w:rsidR="00B63F14">
        <w:t xml:space="preserve"> </w:t>
      </w:r>
      <w:r w:rsidR="006617E4">
        <w:t>hyper pigmentés</w:t>
      </w:r>
    </w:p>
    <w:p w:rsidR="006A7AB1" w:rsidRDefault="006A7AB1" w:rsidP="00AE2208">
      <w:pPr>
        <w:spacing w:after="0"/>
      </w:pPr>
      <w:r>
        <w:t>- Forme et taille variables</w:t>
      </w:r>
    </w:p>
    <w:p w:rsidR="00566360" w:rsidRDefault="00566360" w:rsidP="00AE2208">
      <w:pPr>
        <w:spacing w:after="0"/>
      </w:pPr>
    </w:p>
    <w:p w:rsidR="00837288" w:rsidRPr="00566360" w:rsidRDefault="005E0B22" w:rsidP="00AE2208">
      <w:pPr>
        <w:spacing w:after="0"/>
        <w:rPr>
          <w:b/>
          <w:bCs/>
          <w:sz w:val="24"/>
          <w:szCs w:val="24"/>
          <w:u w:val="single"/>
        </w:rPr>
      </w:pPr>
      <w:r w:rsidRPr="00566360">
        <w:rPr>
          <w:b/>
          <w:bCs/>
          <w:sz w:val="24"/>
          <w:szCs w:val="24"/>
          <w:u w:val="single"/>
        </w:rPr>
        <w:t xml:space="preserve">2. </w:t>
      </w:r>
      <w:r w:rsidR="00837288" w:rsidRPr="00566360">
        <w:rPr>
          <w:b/>
          <w:bCs/>
          <w:sz w:val="24"/>
          <w:szCs w:val="24"/>
          <w:u w:val="single"/>
        </w:rPr>
        <w:t>La topographie :</w:t>
      </w:r>
    </w:p>
    <w:p w:rsidR="005B1603" w:rsidRDefault="005B1603" w:rsidP="00AE2208">
      <w:pPr>
        <w:spacing w:after="0"/>
      </w:pPr>
      <w:r>
        <w:t>Les lésions s</w:t>
      </w:r>
      <w:r w:rsidR="007450E0">
        <w:t>ont bilatérales et symétriques</w:t>
      </w:r>
    </w:p>
    <w:p w:rsidR="007450E0" w:rsidRDefault="007450E0" w:rsidP="00AE2208">
      <w:pPr>
        <w:spacing w:after="0"/>
      </w:pPr>
      <w:r>
        <w:t>Le vitiligo est ubiquitaire, mais certaines zones sont atteintes +++ :</w:t>
      </w:r>
    </w:p>
    <w:p w:rsidR="00837288" w:rsidRDefault="006A7AB1" w:rsidP="00AE2208">
      <w:pPr>
        <w:spacing w:after="0"/>
      </w:pPr>
      <w:bookmarkStart w:id="0" w:name="_GoBack"/>
      <w:bookmarkEnd w:id="0"/>
      <w:r>
        <w:t>- Zones exposées à la lumière</w:t>
      </w:r>
    </w:p>
    <w:p w:rsidR="006A7AB1" w:rsidRDefault="006A7AB1" w:rsidP="00AE2208">
      <w:pPr>
        <w:spacing w:after="0"/>
      </w:pPr>
      <w:r>
        <w:t xml:space="preserve">- </w:t>
      </w:r>
      <w:r w:rsidR="006617E4">
        <w:t>Protubérances osseuses</w:t>
      </w:r>
    </w:p>
    <w:p w:rsidR="006617E4" w:rsidRDefault="006617E4" w:rsidP="00AE2208">
      <w:pPr>
        <w:spacing w:after="0"/>
      </w:pPr>
      <w:r>
        <w:t>- Zones de friction</w:t>
      </w:r>
    </w:p>
    <w:p w:rsidR="006617E4" w:rsidRDefault="006617E4" w:rsidP="00AE2208">
      <w:pPr>
        <w:spacing w:after="0"/>
      </w:pPr>
      <w:r>
        <w:t>- Zones hyper pigmentées : aisselles, organes génitaux</w:t>
      </w:r>
    </w:p>
    <w:p w:rsidR="006617E4" w:rsidRDefault="006617E4" w:rsidP="00AE2208">
      <w:pPr>
        <w:spacing w:after="0"/>
      </w:pPr>
      <w:r>
        <w:t>- Cuir chevelu </w:t>
      </w:r>
      <w:r>
        <w:sym w:font="Wingdings" w:char="F0E0"/>
      </w:r>
      <w:r>
        <w:t xml:space="preserve"> Une mèche blanche</w:t>
      </w:r>
    </w:p>
    <w:p w:rsidR="00566360" w:rsidRDefault="00566360" w:rsidP="00AE2208">
      <w:pPr>
        <w:spacing w:after="0"/>
      </w:pPr>
    </w:p>
    <w:p w:rsidR="005E0B22" w:rsidRPr="00566360" w:rsidRDefault="005E0B22" w:rsidP="00AE2208">
      <w:pPr>
        <w:spacing w:after="0"/>
        <w:rPr>
          <w:b/>
          <w:bCs/>
          <w:sz w:val="24"/>
          <w:szCs w:val="24"/>
          <w:u w:val="single"/>
        </w:rPr>
      </w:pPr>
      <w:r w:rsidRPr="00566360">
        <w:rPr>
          <w:b/>
          <w:bCs/>
          <w:sz w:val="24"/>
          <w:szCs w:val="24"/>
          <w:u w:val="single"/>
        </w:rPr>
        <w:t>3. Signes associés :</w:t>
      </w:r>
    </w:p>
    <w:p w:rsidR="005E0B22" w:rsidRDefault="005E0B22" w:rsidP="00AE2208">
      <w:pPr>
        <w:spacing w:after="0"/>
      </w:pPr>
      <w:r>
        <w:t>- Aucun signe fonctionnel</w:t>
      </w:r>
    </w:p>
    <w:p w:rsidR="005E0B22" w:rsidRDefault="005E0B22" w:rsidP="00AE2208">
      <w:pPr>
        <w:spacing w:after="0"/>
      </w:pPr>
      <w:r>
        <w:t xml:space="preserve">- Après exposition solaire </w:t>
      </w:r>
      <w:r>
        <w:sym w:font="Wingdings" w:char="F0E0"/>
      </w:r>
      <w:r>
        <w:t xml:space="preserve"> Sensation de cuisson – Erythème</w:t>
      </w:r>
    </w:p>
    <w:p w:rsidR="00566360" w:rsidRDefault="00566360" w:rsidP="00AE2208">
      <w:pPr>
        <w:spacing w:after="0"/>
      </w:pPr>
    </w:p>
    <w:p w:rsidR="00566360" w:rsidRDefault="00566360" w:rsidP="00AE2208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285750"/>
                <wp:effectExtent l="0" t="0" r="17780" b="19050"/>
                <wp:wrapNone/>
                <wp:docPr id="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6360" w:rsidRDefault="00566360" w:rsidP="00566360">
                            <w:pPr>
                              <w:jc w:val="center"/>
                            </w:pPr>
                            <w:r>
                              <w:t>Le diagnostic du vitiligo est clinique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186.95pt;height:22.5pt;z-index:251661312;visibility:visible;mso-wrap-style:square;mso-width-percent:40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">
                <v:textbox>
                  <w:txbxContent>
                    <w:p w:rsidR="00566360" w:rsidRDefault="00566360" w:rsidP="00566360">
                      <w:pPr>
                        <w:jc w:val="center"/>
                      </w:pPr>
                      <w:r>
                        <w:t>Le diagnostic du vitiligo est clinique</w:t>
                      </w:r>
                    </w:p>
                  </w:txbxContent>
                </v:textbox>
              </v:shape>
            </w:pict>
          </mc:Fallback>
        </mc:AlternateContent>
      </w:r>
    </w:p>
    <w:p w:rsidR="00566360" w:rsidRDefault="00566360" w:rsidP="00AE2208">
      <w:pPr>
        <w:spacing w:after="0"/>
      </w:pPr>
    </w:p>
    <w:p w:rsidR="002925D1" w:rsidRPr="00AE2208" w:rsidRDefault="00AE2208" w:rsidP="00AE2208">
      <w:pPr>
        <w:spacing w:after="0"/>
        <w:rPr>
          <w:b/>
          <w:bCs/>
          <w:sz w:val="28"/>
          <w:szCs w:val="28"/>
          <w:u w:val="single"/>
        </w:rPr>
      </w:pPr>
      <w:r w:rsidRPr="00AE2208">
        <w:rPr>
          <w:b/>
          <w:bCs/>
          <w:sz w:val="28"/>
          <w:szCs w:val="28"/>
          <w:u w:val="single"/>
        </w:rPr>
        <w:t>EVOLUTION :</w:t>
      </w:r>
    </w:p>
    <w:p w:rsidR="00A20DC4" w:rsidRPr="00566360" w:rsidRDefault="00A20DC4" w:rsidP="00AE2208">
      <w:pPr>
        <w:spacing w:after="0"/>
        <w:rPr>
          <w:rStyle w:val="lev"/>
          <w:b w:val="0"/>
          <w:bCs w:val="0"/>
        </w:rPr>
      </w:pPr>
      <w:r w:rsidRPr="00566360">
        <w:rPr>
          <w:rStyle w:val="lev"/>
          <w:b w:val="0"/>
          <w:bCs w:val="0"/>
        </w:rPr>
        <w:t>L'évolution du vitiligo est imprévisible :</w:t>
      </w:r>
    </w:p>
    <w:p w:rsidR="00A20DC4" w:rsidRDefault="00A20DC4" w:rsidP="00AE2208">
      <w:pPr>
        <w:spacing w:after="0"/>
      </w:pPr>
      <w:r>
        <w:rPr>
          <w:rStyle w:val="lev"/>
        </w:rPr>
        <w:t xml:space="preserve">- </w:t>
      </w:r>
      <w:r>
        <w:t>Il peut rester stable</w:t>
      </w:r>
    </w:p>
    <w:p w:rsidR="00A20DC4" w:rsidRDefault="00A20DC4" w:rsidP="00AE2208">
      <w:pPr>
        <w:spacing w:after="0"/>
      </w:pPr>
      <w:r>
        <w:t xml:space="preserve">- S'étendre </w:t>
      </w:r>
    </w:p>
    <w:p w:rsidR="006617E4" w:rsidRDefault="00A20DC4" w:rsidP="00AE2208">
      <w:pPr>
        <w:spacing w:after="0"/>
      </w:pPr>
      <w:r>
        <w:t>- Régresser</w:t>
      </w:r>
    </w:p>
    <w:p w:rsidR="00566360" w:rsidRDefault="00566360" w:rsidP="00AE2208">
      <w:pPr>
        <w:spacing w:after="0"/>
      </w:pPr>
    </w:p>
    <w:p w:rsidR="002925D1" w:rsidRPr="00AE2208" w:rsidRDefault="00AE2208" w:rsidP="00AE2208">
      <w:pPr>
        <w:spacing w:after="0"/>
        <w:rPr>
          <w:b/>
          <w:bCs/>
          <w:sz w:val="28"/>
          <w:szCs w:val="28"/>
          <w:u w:val="single"/>
        </w:rPr>
      </w:pPr>
      <w:r w:rsidRPr="00AE2208">
        <w:rPr>
          <w:b/>
          <w:bCs/>
          <w:sz w:val="28"/>
          <w:szCs w:val="28"/>
          <w:u w:val="single"/>
        </w:rPr>
        <w:t>TRAITEMENT :</w:t>
      </w:r>
    </w:p>
    <w:p w:rsidR="00AE2208" w:rsidRDefault="00AE2208" w:rsidP="00AE2208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8A261E" wp14:editId="15E53A39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648200" cy="276225"/>
                <wp:effectExtent l="0" t="0" r="19050" b="2857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2208" w:rsidRDefault="00AE2208" w:rsidP="000C2BC2">
                            <w:pPr>
                              <w:jc w:val="center"/>
                            </w:pPr>
                            <w:r>
                              <w:t>Il existe aucun traitement de fond capable de modifier l’évolution du vitiligo</w:t>
                            </w:r>
                          </w:p>
                          <w:p w:rsidR="00AE2208" w:rsidRDefault="00AE2208" w:rsidP="00AE220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0;width:366pt;height:21.7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">
                <v:textbox>
                  <w:txbxContent>
                    <w:p w:rsidR="00AE2208" w:rsidRDefault="00AE2208" w:rsidP="000C2BC2">
                      <w:pPr>
                        <w:jc w:val="center"/>
                      </w:pPr>
                      <w:r>
                        <w:t>Il existe aucun traitement de fond capable de modifier l’évolution du vitiligo</w:t>
                      </w:r>
                    </w:p>
                    <w:p w:rsidR="00AE2208" w:rsidRDefault="00AE2208" w:rsidP="00AE2208"/>
                  </w:txbxContent>
                </v:textbox>
              </v:shape>
            </w:pict>
          </mc:Fallback>
        </mc:AlternateContent>
      </w:r>
    </w:p>
    <w:p w:rsidR="00AE2208" w:rsidRDefault="00AE2208" w:rsidP="00AE2208">
      <w:pPr>
        <w:spacing w:after="0"/>
      </w:pPr>
    </w:p>
    <w:p w:rsidR="00833840" w:rsidRDefault="006169CD" w:rsidP="00AE2208">
      <w:pPr>
        <w:spacing w:after="0"/>
      </w:pPr>
      <w:r>
        <w:t>-</w:t>
      </w:r>
      <w:r w:rsidR="00833840">
        <w:t xml:space="preserve"> Protection contre le soleil</w:t>
      </w:r>
    </w:p>
    <w:p w:rsidR="00833840" w:rsidRDefault="006169CD" w:rsidP="00AE2208">
      <w:pPr>
        <w:spacing w:after="0"/>
      </w:pPr>
      <w:r>
        <w:t xml:space="preserve">- </w:t>
      </w:r>
      <w:r w:rsidR="004B1A1C">
        <w:t>PUVAthérapie</w:t>
      </w:r>
    </w:p>
    <w:p w:rsidR="006169CD" w:rsidRDefault="006169CD" w:rsidP="00AE2208">
      <w:pPr>
        <w:spacing w:after="0"/>
      </w:pPr>
      <w:r>
        <w:t>- Greffe de peau</w:t>
      </w:r>
    </w:p>
    <w:p w:rsidR="004B1A1C" w:rsidRPr="002925D1" w:rsidRDefault="004B1A1C" w:rsidP="00AE2208">
      <w:pPr>
        <w:spacing w:after="0"/>
      </w:pPr>
    </w:p>
    <w:sectPr w:rsidR="004B1A1C" w:rsidRPr="002925D1" w:rsidSect="00321284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26FF"/>
    <w:rsid w:val="00010758"/>
    <w:rsid w:val="00014656"/>
    <w:rsid w:val="00023BFD"/>
    <w:rsid w:val="000255A6"/>
    <w:rsid w:val="00047C8F"/>
    <w:rsid w:val="000522C8"/>
    <w:rsid w:val="00053E05"/>
    <w:rsid w:val="00071E3F"/>
    <w:rsid w:val="00072DFD"/>
    <w:rsid w:val="00073949"/>
    <w:rsid w:val="00077D48"/>
    <w:rsid w:val="00084E12"/>
    <w:rsid w:val="000912D4"/>
    <w:rsid w:val="00092CFA"/>
    <w:rsid w:val="000B163E"/>
    <w:rsid w:val="000B76AD"/>
    <w:rsid w:val="000C2BC2"/>
    <w:rsid w:val="000C6562"/>
    <w:rsid w:val="000C70E7"/>
    <w:rsid w:val="000D04D1"/>
    <w:rsid w:val="000D3DEE"/>
    <w:rsid w:val="000E6407"/>
    <w:rsid w:val="000E7C3C"/>
    <w:rsid w:val="000F7E85"/>
    <w:rsid w:val="0010290E"/>
    <w:rsid w:val="001135FA"/>
    <w:rsid w:val="00114573"/>
    <w:rsid w:val="00161CEF"/>
    <w:rsid w:val="0016462B"/>
    <w:rsid w:val="001664CB"/>
    <w:rsid w:val="0017789E"/>
    <w:rsid w:val="00180D12"/>
    <w:rsid w:val="00181A92"/>
    <w:rsid w:val="00186A13"/>
    <w:rsid w:val="001930FB"/>
    <w:rsid w:val="001B2EF2"/>
    <w:rsid w:val="001B604C"/>
    <w:rsid w:val="001B78AD"/>
    <w:rsid w:val="001C2E10"/>
    <w:rsid w:val="001C6DB9"/>
    <w:rsid w:val="001D298A"/>
    <w:rsid w:val="001F161E"/>
    <w:rsid w:val="002010F5"/>
    <w:rsid w:val="002112B9"/>
    <w:rsid w:val="0022327F"/>
    <w:rsid w:val="00227499"/>
    <w:rsid w:val="00233D48"/>
    <w:rsid w:val="00241906"/>
    <w:rsid w:val="00241E74"/>
    <w:rsid w:val="00254C7E"/>
    <w:rsid w:val="00257345"/>
    <w:rsid w:val="002613C2"/>
    <w:rsid w:val="002743A4"/>
    <w:rsid w:val="00275FD8"/>
    <w:rsid w:val="00280864"/>
    <w:rsid w:val="00287676"/>
    <w:rsid w:val="002925D1"/>
    <w:rsid w:val="0029631A"/>
    <w:rsid w:val="002A34D9"/>
    <w:rsid w:val="002B2555"/>
    <w:rsid w:val="002C3FB6"/>
    <w:rsid w:val="002C443D"/>
    <w:rsid w:val="002E533F"/>
    <w:rsid w:val="002F3BC7"/>
    <w:rsid w:val="00301BE7"/>
    <w:rsid w:val="00321284"/>
    <w:rsid w:val="00330197"/>
    <w:rsid w:val="00330CCA"/>
    <w:rsid w:val="003572C5"/>
    <w:rsid w:val="00357537"/>
    <w:rsid w:val="003715F3"/>
    <w:rsid w:val="003877E4"/>
    <w:rsid w:val="003A3A6C"/>
    <w:rsid w:val="003A5719"/>
    <w:rsid w:val="003B787C"/>
    <w:rsid w:val="003C2C0F"/>
    <w:rsid w:val="003C672C"/>
    <w:rsid w:val="003D2C59"/>
    <w:rsid w:val="003E304A"/>
    <w:rsid w:val="003F48F9"/>
    <w:rsid w:val="003F678A"/>
    <w:rsid w:val="003F6A19"/>
    <w:rsid w:val="00411919"/>
    <w:rsid w:val="00413500"/>
    <w:rsid w:val="00413840"/>
    <w:rsid w:val="00415BCA"/>
    <w:rsid w:val="004327D6"/>
    <w:rsid w:val="0044678C"/>
    <w:rsid w:val="00446E65"/>
    <w:rsid w:val="004553B2"/>
    <w:rsid w:val="004824DB"/>
    <w:rsid w:val="004846C3"/>
    <w:rsid w:val="004A7407"/>
    <w:rsid w:val="004B00FF"/>
    <w:rsid w:val="004B1A1C"/>
    <w:rsid w:val="004B4AD0"/>
    <w:rsid w:val="004C5FCD"/>
    <w:rsid w:val="004D637E"/>
    <w:rsid w:val="004D721C"/>
    <w:rsid w:val="004F367B"/>
    <w:rsid w:val="005108FC"/>
    <w:rsid w:val="00512FA0"/>
    <w:rsid w:val="00525FE8"/>
    <w:rsid w:val="00530792"/>
    <w:rsid w:val="00541328"/>
    <w:rsid w:val="00545804"/>
    <w:rsid w:val="00563BCE"/>
    <w:rsid w:val="00566360"/>
    <w:rsid w:val="00572A4F"/>
    <w:rsid w:val="00593AD4"/>
    <w:rsid w:val="00597661"/>
    <w:rsid w:val="005A1A0F"/>
    <w:rsid w:val="005B1603"/>
    <w:rsid w:val="005C1395"/>
    <w:rsid w:val="005D384B"/>
    <w:rsid w:val="005D74F1"/>
    <w:rsid w:val="005E0B22"/>
    <w:rsid w:val="005E701D"/>
    <w:rsid w:val="0060279D"/>
    <w:rsid w:val="00604894"/>
    <w:rsid w:val="006169CD"/>
    <w:rsid w:val="0062524E"/>
    <w:rsid w:val="00637445"/>
    <w:rsid w:val="00640F0F"/>
    <w:rsid w:val="0064676B"/>
    <w:rsid w:val="00647A08"/>
    <w:rsid w:val="006570F9"/>
    <w:rsid w:val="00660C1E"/>
    <w:rsid w:val="006617E4"/>
    <w:rsid w:val="00677A7D"/>
    <w:rsid w:val="00681BBC"/>
    <w:rsid w:val="006A6AE7"/>
    <w:rsid w:val="006A7AB1"/>
    <w:rsid w:val="006B1FA8"/>
    <w:rsid w:val="006C6209"/>
    <w:rsid w:val="006E4BB8"/>
    <w:rsid w:val="006E631A"/>
    <w:rsid w:val="006F75D3"/>
    <w:rsid w:val="007033F5"/>
    <w:rsid w:val="00706009"/>
    <w:rsid w:val="00711782"/>
    <w:rsid w:val="00713347"/>
    <w:rsid w:val="00733DEF"/>
    <w:rsid w:val="007450E0"/>
    <w:rsid w:val="00757FF3"/>
    <w:rsid w:val="00763384"/>
    <w:rsid w:val="007657FF"/>
    <w:rsid w:val="0078399D"/>
    <w:rsid w:val="00791CC5"/>
    <w:rsid w:val="00793A52"/>
    <w:rsid w:val="00793FE5"/>
    <w:rsid w:val="007A36E3"/>
    <w:rsid w:val="007C39EB"/>
    <w:rsid w:val="007F1D3B"/>
    <w:rsid w:val="00800EE4"/>
    <w:rsid w:val="00802D55"/>
    <w:rsid w:val="0081198B"/>
    <w:rsid w:val="00812E9F"/>
    <w:rsid w:val="00817FD7"/>
    <w:rsid w:val="0082308F"/>
    <w:rsid w:val="0083087C"/>
    <w:rsid w:val="00833840"/>
    <w:rsid w:val="00837288"/>
    <w:rsid w:val="00846D3E"/>
    <w:rsid w:val="0085055B"/>
    <w:rsid w:val="008636BB"/>
    <w:rsid w:val="00873DF8"/>
    <w:rsid w:val="00883A6D"/>
    <w:rsid w:val="008841AD"/>
    <w:rsid w:val="00892767"/>
    <w:rsid w:val="00895263"/>
    <w:rsid w:val="008A3D54"/>
    <w:rsid w:val="008B5A47"/>
    <w:rsid w:val="008C55F6"/>
    <w:rsid w:val="008D3D70"/>
    <w:rsid w:val="008D4C75"/>
    <w:rsid w:val="008D5CBD"/>
    <w:rsid w:val="008F37EC"/>
    <w:rsid w:val="008F7750"/>
    <w:rsid w:val="00900437"/>
    <w:rsid w:val="00900A5F"/>
    <w:rsid w:val="00907EE8"/>
    <w:rsid w:val="00910E8B"/>
    <w:rsid w:val="009359C0"/>
    <w:rsid w:val="009457D7"/>
    <w:rsid w:val="00951B65"/>
    <w:rsid w:val="009564F7"/>
    <w:rsid w:val="00970A6F"/>
    <w:rsid w:val="0097399E"/>
    <w:rsid w:val="009767D9"/>
    <w:rsid w:val="009810F4"/>
    <w:rsid w:val="00983573"/>
    <w:rsid w:val="009839C3"/>
    <w:rsid w:val="00986BFA"/>
    <w:rsid w:val="00991CDE"/>
    <w:rsid w:val="00997779"/>
    <w:rsid w:val="009B270A"/>
    <w:rsid w:val="009C3950"/>
    <w:rsid w:val="009C5C99"/>
    <w:rsid w:val="009C7354"/>
    <w:rsid w:val="009C789A"/>
    <w:rsid w:val="009E1A00"/>
    <w:rsid w:val="009F1121"/>
    <w:rsid w:val="009F59F1"/>
    <w:rsid w:val="009F784B"/>
    <w:rsid w:val="00A00A00"/>
    <w:rsid w:val="00A02B74"/>
    <w:rsid w:val="00A052C6"/>
    <w:rsid w:val="00A15055"/>
    <w:rsid w:val="00A20DC4"/>
    <w:rsid w:val="00A35ABF"/>
    <w:rsid w:val="00A35FE3"/>
    <w:rsid w:val="00A45BEA"/>
    <w:rsid w:val="00A63415"/>
    <w:rsid w:val="00A64AF6"/>
    <w:rsid w:val="00A71D06"/>
    <w:rsid w:val="00A776B3"/>
    <w:rsid w:val="00AA062F"/>
    <w:rsid w:val="00AA78C4"/>
    <w:rsid w:val="00AD5E0B"/>
    <w:rsid w:val="00AE2208"/>
    <w:rsid w:val="00B11B60"/>
    <w:rsid w:val="00B132A6"/>
    <w:rsid w:val="00B17F37"/>
    <w:rsid w:val="00B263E8"/>
    <w:rsid w:val="00B42236"/>
    <w:rsid w:val="00B43CFE"/>
    <w:rsid w:val="00B557FA"/>
    <w:rsid w:val="00B55A38"/>
    <w:rsid w:val="00B61221"/>
    <w:rsid w:val="00B63F14"/>
    <w:rsid w:val="00B65009"/>
    <w:rsid w:val="00B70A32"/>
    <w:rsid w:val="00B862C3"/>
    <w:rsid w:val="00BA20F2"/>
    <w:rsid w:val="00BA5A21"/>
    <w:rsid w:val="00BA7C23"/>
    <w:rsid w:val="00BB2604"/>
    <w:rsid w:val="00BB579D"/>
    <w:rsid w:val="00BB7F31"/>
    <w:rsid w:val="00BD5502"/>
    <w:rsid w:val="00BF0674"/>
    <w:rsid w:val="00BF7117"/>
    <w:rsid w:val="00C01019"/>
    <w:rsid w:val="00C014E1"/>
    <w:rsid w:val="00C20C48"/>
    <w:rsid w:val="00C20F70"/>
    <w:rsid w:val="00C27A5D"/>
    <w:rsid w:val="00C27CEA"/>
    <w:rsid w:val="00C37261"/>
    <w:rsid w:val="00C45BB8"/>
    <w:rsid w:val="00C546F8"/>
    <w:rsid w:val="00C6026E"/>
    <w:rsid w:val="00C61BC5"/>
    <w:rsid w:val="00C82E65"/>
    <w:rsid w:val="00C9023F"/>
    <w:rsid w:val="00CA1AF4"/>
    <w:rsid w:val="00CC3123"/>
    <w:rsid w:val="00CC49BE"/>
    <w:rsid w:val="00CC75A7"/>
    <w:rsid w:val="00CD3AE2"/>
    <w:rsid w:val="00CE6572"/>
    <w:rsid w:val="00CF5545"/>
    <w:rsid w:val="00CF7189"/>
    <w:rsid w:val="00D05983"/>
    <w:rsid w:val="00D13A4C"/>
    <w:rsid w:val="00D13FA8"/>
    <w:rsid w:val="00D1400C"/>
    <w:rsid w:val="00D16015"/>
    <w:rsid w:val="00D3197F"/>
    <w:rsid w:val="00D40011"/>
    <w:rsid w:val="00D47F53"/>
    <w:rsid w:val="00D52F08"/>
    <w:rsid w:val="00D53E8E"/>
    <w:rsid w:val="00D542D2"/>
    <w:rsid w:val="00D56F49"/>
    <w:rsid w:val="00D632D2"/>
    <w:rsid w:val="00D66D11"/>
    <w:rsid w:val="00D71FB3"/>
    <w:rsid w:val="00D92A2D"/>
    <w:rsid w:val="00D9495F"/>
    <w:rsid w:val="00D96F7B"/>
    <w:rsid w:val="00DB27F5"/>
    <w:rsid w:val="00DC0AFA"/>
    <w:rsid w:val="00DC65A1"/>
    <w:rsid w:val="00DD1BE9"/>
    <w:rsid w:val="00DE42A2"/>
    <w:rsid w:val="00DE4C0F"/>
    <w:rsid w:val="00DE64ED"/>
    <w:rsid w:val="00DF010A"/>
    <w:rsid w:val="00DF0F56"/>
    <w:rsid w:val="00E10C76"/>
    <w:rsid w:val="00E152AF"/>
    <w:rsid w:val="00E2204E"/>
    <w:rsid w:val="00E2400B"/>
    <w:rsid w:val="00E2532C"/>
    <w:rsid w:val="00E26049"/>
    <w:rsid w:val="00E27732"/>
    <w:rsid w:val="00E30D20"/>
    <w:rsid w:val="00E34D6F"/>
    <w:rsid w:val="00E37B31"/>
    <w:rsid w:val="00E629D6"/>
    <w:rsid w:val="00E67432"/>
    <w:rsid w:val="00E77D7F"/>
    <w:rsid w:val="00E8107F"/>
    <w:rsid w:val="00E81E1B"/>
    <w:rsid w:val="00EB65D9"/>
    <w:rsid w:val="00EC3389"/>
    <w:rsid w:val="00EF019C"/>
    <w:rsid w:val="00EF280A"/>
    <w:rsid w:val="00EF7F74"/>
    <w:rsid w:val="00F0318E"/>
    <w:rsid w:val="00F13CE5"/>
    <w:rsid w:val="00F14204"/>
    <w:rsid w:val="00F33E7F"/>
    <w:rsid w:val="00F5029C"/>
    <w:rsid w:val="00F63AC5"/>
    <w:rsid w:val="00F7335A"/>
    <w:rsid w:val="00F8253B"/>
    <w:rsid w:val="00F91B35"/>
    <w:rsid w:val="00FA50C5"/>
    <w:rsid w:val="00FB295F"/>
    <w:rsid w:val="00FC59C1"/>
    <w:rsid w:val="00FD5C46"/>
    <w:rsid w:val="00FE4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7E82A-91A0-408B-94E6-9C8B992F5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755</TotalTime>
  <Pages>1</Pages>
  <Words>130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Hamid</cp:lastModifiedBy>
  <cp:revision>47</cp:revision>
  <dcterms:created xsi:type="dcterms:W3CDTF">2014-05-02T20:48:00Z</dcterms:created>
  <dcterms:modified xsi:type="dcterms:W3CDTF">2014-05-07T23:31:00Z</dcterms:modified>
</cp:coreProperties>
</file>