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BCF" w:rsidRPr="00234CA5" w:rsidRDefault="00AF27FF" w:rsidP="000F1103">
      <w:pPr>
        <w:spacing w:line="276" w:lineRule="auto"/>
        <w:jc w:val="center"/>
        <w:rPr>
          <w:rFonts w:asciiTheme="minorHAnsi" w:hAnsiTheme="minorHAnsi"/>
          <w:b/>
          <w:color w:val="0070C0"/>
          <w:u w:val="single"/>
        </w:rPr>
      </w:pPr>
      <w:r w:rsidRPr="00234CA5">
        <w:rPr>
          <w:rFonts w:asciiTheme="minorHAnsi" w:hAnsiTheme="minorHAnsi"/>
          <w:b/>
          <w:color w:val="0070C0"/>
          <w:u w:val="single"/>
        </w:rPr>
        <w:t>HEMOPHILIE</w:t>
      </w:r>
    </w:p>
    <w:p w:rsidR="00AF27FF" w:rsidRPr="008D2120" w:rsidRDefault="00AF27FF" w:rsidP="000F1103">
      <w:pPr>
        <w:spacing w:line="276" w:lineRule="auto"/>
        <w:jc w:val="center"/>
        <w:rPr>
          <w:rFonts w:asciiTheme="minorHAnsi" w:hAnsiTheme="minorHAnsi"/>
          <w:b/>
          <w:color w:val="000000" w:themeColor="text1"/>
          <w:sz w:val="22"/>
          <w:szCs w:val="22"/>
        </w:rPr>
      </w:pPr>
    </w:p>
    <w:p w:rsidR="00FA41E1" w:rsidRPr="008D2120" w:rsidRDefault="000F1103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Coagulopathie congénitale</w:t>
      </w:r>
      <w:r w:rsidR="00FA41E1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à </w:t>
      </w:r>
      <w:r w:rsidR="00FA41E1" w:rsidRPr="008D2120">
        <w:rPr>
          <w:rFonts w:asciiTheme="minorHAnsi" w:hAnsiTheme="minorHAnsi"/>
          <w:b/>
          <w:bCs/>
          <w:color w:val="000000" w:themeColor="text1"/>
          <w:sz w:val="22"/>
          <w:szCs w:val="22"/>
        </w:rPr>
        <w:t xml:space="preserve">transmission gonosomique récessive </w:t>
      </w:r>
      <w:r w:rsidR="00815A28" w:rsidRPr="008D2120">
        <w:rPr>
          <w:rFonts w:asciiTheme="minorHAnsi" w:hAnsiTheme="minorHAnsi"/>
          <w:b/>
          <w:bCs/>
          <w:color w:val="000000" w:themeColor="text1"/>
          <w:sz w:val="22"/>
          <w:szCs w:val="22"/>
        </w:rPr>
        <w:t xml:space="preserve">(chr X) </w:t>
      </w:r>
      <w:r w:rsidR="002E4DDF" w:rsidRPr="008D2120">
        <w:rPr>
          <w:rFonts w:asciiTheme="minorHAnsi" w:hAnsiTheme="minorHAnsi"/>
          <w:b/>
          <w:bCs/>
          <w:color w:val="000000" w:themeColor="text1"/>
          <w:sz w:val="22"/>
          <w:szCs w:val="22"/>
        </w:rPr>
        <w:t>touchant le garçon</w:t>
      </w:r>
      <w:r w:rsidR="002E4DDF" w:rsidRPr="008D2120">
        <w:rPr>
          <w:rFonts w:asciiTheme="minorHAnsi" w:hAnsiTheme="minorHAnsi"/>
          <w:color w:val="000000" w:themeColor="text1"/>
          <w:sz w:val="22"/>
          <w:szCs w:val="22"/>
        </w:rPr>
        <w:t>, due à</w:t>
      </w:r>
      <w:r w:rsidR="00FA41E1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un </w:t>
      </w:r>
      <w:r w:rsidR="002E4DDF" w:rsidRPr="008D2120">
        <w:rPr>
          <w:rFonts w:asciiTheme="minorHAnsi" w:hAnsiTheme="minorHAnsi"/>
          <w:color w:val="000000" w:themeColor="text1"/>
          <w:sz w:val="22"/>
          <w:szCs w:val="22"/>
        </w:rPr>
        <w:t>déficit</w:t>
      </w:r>
      <w:r w:rsidR="00FA41E1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>quantitatif ou qualitatif</w:t>
      </w:r>
      <w:r w:rsidR="002E4DDF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FA41E1" w:rsidRPr="008D2120">
        <w:rPr>
          <w:rFonts w:asciiTheme="minorHAnsi" w:hAnsiTheme="minorHAnsi"/>
          <w:color w:val="000000" w:themeColor="text1"/>
          <w:sz w:val="22"/>
          <w:szCs w:val="22"/>
        </w:rPr>
        <w:t>en l’un des d</w:t>
      </w:r>
      <w:r w:rsidR="002E4DDF" w:rsidRPr="008D2120">
        <w:rPr>
          <w:rFonts w:asciiTheme="minorHAnsi" w:hAnsiTheme="minorHAnsi"/>
          <w:color w:val="000000" w:themeColor="text1"/>
          <w:sz w:val="22"/>
          <w:szCs w:val="22"/>
        </w:rPr>
        <w:t>eux facteurs de la coagulation VIII (hémophilie A)</w:t>
      </w:r>
      <w:r w:rsidR="008D2120">
        <w:rPr>
          <w:rFonts w:asciiTheme="minorHAnsi" w:hAnsiTheme="minorHAnsi"/>
          <w:color w:val="000000" w:themeColor="text1"/>
          <w:sz w:val="22"/>
          <w:szCs w:val="22"/>
        </w:rPr>
        <w:t xml:space="preserve">      80 %</w:t>
      </w:r>
      <w:r w:rsidR="002E4DDF" w:rsidRPr="008D2120">
        <w:rPr>
          <w:rFonts w:asciiTheme="minorHAnsi" w:hAnsiTheme="minorHAnsi"/>
          <w:color w:val="000000" w:themeColor="text1"/>
          <w:sz w:val="22"/>
          <w:szCs w:val="22"/>
        </w:rPr>
        <w:t>, IX (hémophile B)</w:t>
      </w:r>
    </w:p>
    <w:p w:rsidR="002E4DDF" w:rsidRPr="008D2120" w:rsidRDefault="002E4DDF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La plus fréquente des coagulopathies, hémophilie A (85%), hémophilie B (15%)</w:t>
      </w:r>
    </w:p>
    <w:p w:rsidR="00EA6A0B" w:rsidRPr="008D2120" w:rsidRDefault="00EA6A0B" w:rsidP="000F1103">
      <w:pPr>
        <w:spacing w:line="276" w:lineRule="auto"/>
        <w:ind w:left="360"/>
        <w:rPr>
          <w:rFonts w:asciiTheme="minorHAnsi" w:hAnsiTheme="minorHAnsi"/>
          <w:color w:val="000000" w:themeColor="text1"/>
          <w:sz w:val="22"/>
          <w:szCs w:val="22"/>
        </w:rPr>
      </w:pPr>
    </w:p>
    <w:p w:rsidR="00203F47" w:rsidRPr="00203F47" w:rsidRDefault="008D2120" w:rsidP="000F1103">
      <w:pPr>
        <w:spacing w:line="276" w:lineRule="auto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  <w:sz w:val="22"/>
          <w:szCs w:val="22"/>
        </w:rPr>
        <w:t xml:space="preserve">            </w:t>
      </w:r>
      <w:r w:rsidRPr="00203F47">
        <w:rPr>
          <w:rFonts w:asciiTheme="minorHAnsi" w:hAnsiTheme="minorHAnsi"/>
          <w:b/>
          <w:color w:val="000000" w:themeColor="text1"/>
        </w:rPr>
        <w:t xml:space="preserve">  CLINIQUE :</w:t>
      </w:r>
    </w:p>
    <w:p w:rsidR="00EA6A0B" w:rsidRPr="008D2120" w:rsidRDefault="00EA6A0B" w:rsidP="000F1103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t>interrogatoire</w:t>
      </w:r>
    </w:p>
    <w:p w:rsidR="00EA6A0B" w:rsidRPr="008D2120" w:rsidRDefault="00EA6A0B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A</w:t>
      </w:r>
      <w:r w:rsidR="00021856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TCD familiaux du coté maternel 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</w:p>
    <w:p w:rsidR="00EA6A0B" w:rsidRPr="008D2120" w:rsidRDefault="00EA6A0B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Garçon présentant </w:t>
      </w:r>
      <w:r w:rsidRPr="008D2120">
        <w:rPr>
          <w:rFonts w:asciiTheme="minorHAnsi" w:hAnsiTheme="minorHAnsi"/>
          <w:color w:val="000000" w:themeColor="text1"/>
          <w:sz w:val="22"/>
          <w:szCs w:val="22"/>
          <w:highlight w:val="yellow"/>
        </w:rPr>
        <w:t xml:space="preserve">des saignements </w:t>
      </w:r>
      <w:r w:rsidR="008D2120" w:rsidRPr="008D2120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provoqués</w:t>
      </w:r>
      <w:r w:rsid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prolongés </w:t>
      </w:r>
      <w:r w:rsidR="008D2120">
        <w:rPr>
          <w:rFonts w:asciiTheme="minorHAnsi" w:hAnsiTheme="minorHAnsi"/>
          <w:color w:val="000000" w:themeColor="text1"/>
          <w:sz w:val="22"/>
          <w:szCs w:val="22"/>
        </w:rPr>
        <w:t xml:space="preserve">sans tendance à l’arrêt </w:t>
      </w:r>
    </w:p>
    <w:p w:rsidR="00EA6A0B" w:rsidRPr="008D2120" w:rsidRDefault="00EA6A0B" w:rsidP="00021856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Début précoce ; saignement articulaire et musculaire aboutissant </w:t>
      </w:r>
      <w:r w:rsidR="00021856" w:rsidRPr="008D2120">
        <w:rPr>
          <w:rFonts w:asciiTheme="minorHAnsi" w:hAnsiTheme="minorHAnsi"/>
          <w:color w:val="000000" w:themeColor="text1"/>
          <w:sz w:val="22"/>
          <w:szCs w:val="22"/>
        </w:rPr>
        <w:t>à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des arthropathies </w:t>
      </w:r>
    </w:p>
    <w:p w:rsidR="00EA6A0B" w:rsidRPr="008D2120" w:rsidRDefault="002F620C" w:rsidP="000F1103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t>même tableau clinique pour l’HA et l’HB</w:t>
      </w:r>
    </w:p>
    <w:p w:rsidR="002F620C" w:rsidRPr="008D2120" w:rsidRDefault="002F620C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hémorragies </w:t>
      </w:r>
      <w:r w:rsidR="008D2120">
        <w:rPr>
          <w:rFonts w:asciiTheme="minorHAnsi" w:hAnsiTheme="minorHAnsi"/>
          <w:color w:val="000000" w:themeColor="text1"/>
          <w:sz w:val="22"/>
          <w:szCs w:val="22"/>
        </w:rPr>
        <w:t>spécifiques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de l’appareil locomoteur</w:t>
      </w:r>
    </w:p>
    <w:p w:rsidR="00203F47" w:rsidRDefault="002F620C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hémarthroses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des articulations soumises à d’importantes pressions (genoux, cheville, hanche) ou </w:t>
      </w:r>
      <w:r w:rsidR="003D7235">
        <w:rPr>
          <w:rFonts w:asciiTheme="minorHAnsi" w:hAnsiTheme="minorHAnsi"/>
          <w:color w:val="000000" w:themeColor="text1"/>
          <w:sz w:val="22"/>
          <w:szCs w:val="22"/>
        </w:rPr>
        <w:t>peu protégées (coude, poignet)</w:t>
      </w:r>
    </w:p>
    <w:p w:rsidR="003D7235" w:rsidRDefault="003D7235" w:rsidP="00203F47">
      <w:pPr>
        <w:spacing w:line="276" w:lineRule="auto"/>
        <w:ind w:left="144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203F47" w:rsidRPr="003D7235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Spécifiques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8E5147">
        <w:rPr>
          <w:rFonts w:asciiTheme="minorHAnsi" w:hAnsiTheme="minorHAnsi"/>
          <w:color w:val="000000" w:themeColor="text1"/>
          <w:sz w:val="22"/>
          <w:szCs w:val="22"/>
        </w:rPr>
        <w:t>avec un caractère inflammatoire</w:t>
      </w:r>
      <w:r w:rsidR="00203F47">
        <w:rPr>
          <w:rFonts w:asciiTheme="minorHAnsi" w:hAnsiTheme="minorHAnsi"/>
          <w:color w:val="000000" w:themeColor="text1"/>
          <w:sz w:val="22"/>
          <w:szCs w:val="22"/>
        </w:rPr>
        <w:t xml:space="preserve"> sans signes infectieux</w:t>
      </w:r>
    </w:p>
    <w:p w:rsidR="00203F47" w:rsidRDefault="00203F47" w:rsidP="00203F47">
      <w:pPr>
        <w:spacing w:line="276" w:lineRule="auto"/>
        <w:ind w:left="144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Récidives fréquentes entrainant une destruction du cartilage </w:t>
      </w:r>
    </w:p>
    <w:p w:rsidR="002F620C" w:rsidRPr="008D2120" w:rsidRDefault="002F620C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203F47">
        <w:rPr>
          <w:rFonts w:asciiTheme="minorHAnsi" w:hAnsiTheme="minorHAnsi"/>
          <w:color w:val="000000" w:themeColor="text1"/>
          <w:sz w:val="22"/>
          <w:szCs w:val="22"/>
          <w:highlight w:val="yellow"/>
        </w:rPr>
        <w:t xml:space="preserve">hématomes </w:t>
      </w:r>
      <w:r w:rsidR="008D2120" w:rsidRPr="00203F47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profonds</w:t>
      </w:r>
    </w:p>
    <w:p w:rsidR="002F620C" w:rsidRPr="008D2120" w:rsidRDefault="002F620C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douleurs croissantes, gonflement, épanchement </w:t>
      </w:r>
    </w:p>
    <w:p w:rsidR="002F620C" w:rsidRPr="008D2120" w:rsidRDefault="002F620C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pouvant mètre en jeux le pronostic vital ou fonctionnel selon leurs localisations </w:t>
      </w:r>
    </w:p>
    <w:p w:rsidR="002F620C" w:rsidRPr="008D2120" w:rsidRDefault="002F620C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autres hémorragie </w:t>
      </w:r>
    </w:p>
    <w:p w:rsidR="002F620C" w:rsidRPr="008D2120" w:rsidRDefault="002F620C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épistaxis, hématurie, digestives</w:t>
      </w:r>
    </w:p>
    <w:p w:rsidR="002F626C" w:rsidRPr="008D2120" w:rsidRDefault="002F620C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toujours rechercher une cause locale pérennisant le saignement </w:t>
      </w:r>
    </w:p>
    <w:p w:rsidR="002F620C" w:rsidRPr="008D2120" w:rsidRDefault="002F626C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risques hémorragiques graves</w:t>
      </w:r>
      <w:r w:rsidR="002F620C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 </w:t>
      </w:r>
    </w:p>
    <w:p w:rsidR="002F626C" w:rsidRPr="008D2120" w:rsidRDefault="002F626C" w:rsidP="00021856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traumatisme crânien avéré ou suspecté devant conduire impérativement </w:t>
      </w:r>
      <w:r w:rsidR="00021856" w:rsidRPr="008D2120">
        <w:rPr>
          <w:rFonts w:asciiTheme="minorHAnsi" w:hAnsiTheme="minorHAnsi"/>
          <w:color w:val="000000" w:themeColor="text1"/>
          <w:sz w:val="22"/>
          <w:szCs w:val="22"/>
        </w:rPr>
        <w:t>à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un TRT de substitution</w:t>
      </w:r>
    </w:p>
    <w:p w:rsidR="002F620C" w:rsidRPr="008D2120" w:rsidRDefault="008E5147" w:rsidP="000F1103">
      <w:p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</w:p>
    <w:p w:rsidR="002F626C" w:rsidRPr="008E5147" w:rsidRDefault="008E5147" w:rsidP="000F1103">
      <w:pPr>
        <w:spacing w:line="276" w:lineRule="auto"/>
        <w:rPr>
          <w:rFonts w:asciiTheme="minorHAnsi" w:hAnsiTheme="minorHAnsi"/>
          <w:b/>
          <w:color w:val="000000" w:themeColor="text1"/>
        </w:rPr>
      </w:pPr>
      <w:r w:rsidRPr="008E5147">
        <w:rPr>
          <w:rFonts w:asciiTheme="minorHAnsi" w:hAnsiTheme="minorHAnsi"/>
          <w:b/>
          <w:color w:val="000000" w:themeColor="text1"/>
        </w:rPr>
        <w:t xml:space="preserve">               PARACLINIQUE :</w:t>
      </w:r>
    </w:p>
    <w:p w:rsidR="002F626C" w:rsidRPr="00203F47" w:rsidRDefault="002F626C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hémostase primaire </w:t>
      </w:r>
      <w:r w:rsidRPr="008E5147">
        <w:rPr>
          <w:rFonts w:asciiTheme="minorHAnsi" w:hAnsiTheme="minorHAnsi"/>
          <w:b/>
          <w:color w:val="000000" w:themeColor="text1"/>
          <w:sz w:val="22"/>
          <w:szCs w:val="22"/>
          <w:highlight w:val="yellow"/>
        </w:rPr>
        <w:t>normale</w:t>
      </w:r>
      <w:r w:rsidRPr="00203F47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</w:p>
    <w:p w:rsidR="002F626C" w:rsidRPr="008D2120" w:rsidRDefault="002F626C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anomalie de la voie intrinsèque : TQ normale, </w:t>
      </w:r>
      <w:r w:rsidRPr="008E5147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TCA allongé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</w:p>
    <w:p w:rsidR="002F626C" w:rsidRPr="008D2120" w:rsidRDefault="002F626C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dosage du facteur </w:t>
      </w:r>
      <w:r w:rsidRPr="008E5147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IX, VIII permet de poser le diagnostic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et d’apprécier la sévérité </w:t>
      </w:r>
    </w:p>
    <w:p w:rsidR="00203F47" w:rsidRPr="00203F47" w:rsidRDefault="00965D8A" w:rsidP="00203F47">
      <w:pPr>
        <w:spacing w:line="276" w:lineRule="auto"/>
        <w:ind w:left="108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left:0;text-align:left;margin-left:148.5pt;margin-top:10.8pt;width:200.6pt;height:48pt;z-index:251659264;visibility:visible;mso-wrap-style:square;mso-width-percent:400;mso-wrap-distance-left:9pt;mso-wrap-distance-top:3.6pt;mso-wrap-distance-right:9pt;mso-wrap-distance-bottom:3.6pt;mso-position-horizontal-relative:text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v8dLOKwIAAEwEAAAOAAAAAAAAAAAAAAAAAC4CAABkcnMvZTJv&#10;RG9jLnhtbFBLAQItABQABgAIAAAAIQBIWydy2wAAAAcBAAAPAAAAAAAAAAAAAAAAAIUEAABkcnMv&#10;ZG93bnJldi54bWxQSwUGAAAAAAQABADzAAAAjQUAAAAA&#10;">
            <v:textbox>
              <w:txbxContent>
                <w:p w:rsidR="00203F47" w:rsidRDefault="00203F47" w:rsidP="00203F47">
                  <w:pPr>
                    <w:pStyle w:val="Paragraphedeliste"/>
                    <w:numPr>
                      <w:ilvl w:val="1"/>
                      <w:numId w:val="5"/>
                    </w:numPr>
                  </w:pPr>
                  <w:r>
                    <w:t xml:space="preserve">  % : Grave ou majeure</w:t>
                  </w:r>
                </w:p>
                <w:p w:rsidR="00203F47" w:rsidRDefault="00203F47" w:rsidP="00203F47">
                  <w:r>
                    <w:t>2-5   % : Modérée</w:t>
                  </w:r>
                </w:p>
                <w:p w:rsidR="00203F47" w:rsidRDefault="00203F47" w:rsidP="00203F47">
                  <w:r>
                    <w:t>6-25 % : Mineure</w:t>
                  </w:r>
                </w:p>
              </w:txbxContent>
            </v:textbox>
            <w10:wrap type="square"/>
          </v:shape>
        </w:pict>
      </w:r>
    </w:p>
    <w:p w:rsidR="00203F47" w:rsidRPr="00203F47" w:rsidRDefault="00203F47" w:rsidP="00203F47">
      <w:pPr>
        <w:spacing w:line="276" w:lineRule="auto"/>
        <w:ind w:left="1080"/>
        <w:rPr>
          <w:rFonts w:asciiTheme="minorHAnsi" w:hAnsiTheme="minorHAnsi"/>
          <w:color w:val="000000" w:themeColor="text1"/>
          <w:sz w:val="22"/>
          <w:szCs w:val="22"/>
        </w:rPr>
      </w:pPr>
    </w:p>
    <w:p w:rsidR="00203F47" w:rsidRDefault="00203F47" w:rsidP="00203F47">
      <w:pPr>
        <w:spacing w:line="276" w:lineRule="auto"/>
        <w:ind w:left="1080"/>
        <w:rPr>
          <w:rFonts w:asciiTheme="minorHAnsi" w:hAnsiTheme="minorHAnsi"/>
          <w:color w:val="000000" w:themeColor="text1"/>
          <w:sz w:val="22"/>
          <w:szCs w:val="22"/>
        </w:rPr>
      </w:pPr>
    </w:p>
    <w:p w:rsidR="008E5147" w:rsidRPr="00203F47" w:rsidRDefault="008E5147" w:rsidP="00203F47">
      <w:pPr>
        <w:spacing w:line="276" w:lineRule="auto"/>
        <w:ind w:left="1080"/>
        <w:rPr>
          <w:rFonts w:asciiTheme="minorHAnsi" w:hAnsiTheme="minorHAnsi"/>
          <w:color w:val="000000" w:themeColor="text1"/>
          <w:sz w:val="22"/>
          <w:szCs w:val="22"/>
        </w:rPr>
      </w:pPr>
    </w:p>
    <w:p w:rsidR="00203F47" w:rsidRPr="00203F47" w:rsidRDefault="00203F47" w:rsidP="008E5147">
      <w:p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</w:p>
    <w:p w:rsidR="00277911" w:rsidRPr="008E5147" w:rsidRDefault="00277911" w:rsidP="00203F47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E5147">
        <w:rPr>
          <w:rFonts w:asciiTheme="minorHAnsi" w:hAnsiTheme="minorHAnsi"/>
          <w:b/>
          <w:color w:val="000000" w:themeColor="text1"/>
          <w:sz w:val="22"/>
          <w:szCs w:val="22"/>
        </w:rPr>
        <w:t xml:space="preserve">bilan des complications </w:t>
      </w:r>
    </w:p>
    <w:p w:rsidR="008E5147" w:rsidRPr="008E5147" w:rsidRDefault="00277911" w:rsidP="008E5147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anémie microcytaire hypochrome secondaire aux saignements chroniques</w:t>
      </w:r>
    </w:p>
    <w:p w:rsidR="006D275A" w:rsidRPr="008E5147" w:rsidRDefault="008E5147" w:rsidP="000F1103">
      <w:pPr>
        <w:spacing w:line="276" w:lineRule="auto"/>
        <w:rPr>
          <w:rFonts w:asciiTheme="minorHAnsi" w:hAnsiTheme="minorHAnsi"/>
          <w:b/>
          <w:color w:val="000000" w:themeColor="text1"/>
        </w:rPr>
      </w:pPr>
      <w:r w:rsidRPr="008E5147">
        <w:rPr>
          <w:rFonts w:asciiTheme="minorHAnsi" w:hAnsiTheme="minorHAnsi"/>
          <w:b/>
          <w:color w:val="000000" w:themeColor="text1"/>
        </w:rPr>
        <w:t xml:space="preserve">              DIAGNOSTIC DIFFERENTIEL :</w:t>
      </w:r>
    </w:p>
    <w:p w:rsidR="006D275A" w:rsidRPr="008D2120" w:rsidRDefault="006D275A" w:rsidP="000F1103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t xml:space="preserve">syndrome hémorragique avec </w:t>
      </w:r>
      <w:r w:rsidR="00021856" w:rsidRPr="008D2120">
        <w:rPr>
          <w:rFonts w:asciiTheme="minorHAnsi" w:hAnsiTheme="minorHAnsi"/>
          <w:b/>
          <w:color w:val="000000" w:themeColor="text1"/>
          <w:sz w:val="22"/>
          <w:szCs w:val="22"/>
        </w:rPr>
        <w:t>allongement du TCA</w:t>
      </w:r>
    </w:p>
    <w:p w:rsidR="006D275A" w:rsidRDefault="006D275A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maladie de Willebrand de transmission autosomale </w:t>
      </w:r>
      <w:r w:rsidR="00203F47">
        <w:rPr>
          <w:rFonts w:asciiTheme="minorHAnsi" w:hAnsiTheme="minorHAnsi"/>
          <w:color w:val="000000" w:themeColor="text1"/>
          <w:sz w:val="22"/>
          <w:szCs w:val="22"/>
        </w:rPr>
        <w:t xml:space="preserve">dominante 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>touchant les 2</w:t>
      </w:r>
      <w:r w:rsidR="00203F47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sexes </w:t>
      </w:r>
    </w:p>
    <w:p w:rsidR="00203F47" w:rsidRPr="008D2120" w:rsidRDefault="00203F47" w:rsidP="00203F47">
      <w:pPr>
        <w:spacing w:line="276" w:lineRule="auto"/>
        <w:ind w:left="108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Avec un </w:t>
      </w:r>
      <w:r w:rsidRPr="00203F47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TS ALLONGE ++++</w:t>
      </w:r>
    </w:p>
    <w:p w:rsidR="006D275A" w:rsidRPr="008D2120" w:rsidRDefault="006D275A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déficit en facteur XI</w:t>
      </w:r>
    </w:p>
    <w:p w:rsidR="00277911" w:rsidRPr="008D2120" w:rsidRDefault="00277911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anticorps anti VIII (post partum, néoplasie, lymphome, sujet âgé)</w:t>
      </w:r>
    </w:p>
    <w:p w:rsidR="006D275A" w:rsidRPr="008D2120" w:rsidRDefault="006D275A" w:rsidP="000F1103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lastRenderedPageBreak/>
        <w:t xml:space="preserve">syndrome hémorragique sans allongement du TCK </w:t>
      </w:r>
    </w:p>
    <w:p w:rsidR="00277911" w:rsidRPr="008D2120" w:rsidRDefault="00277911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déficit en facteur XII</w:t>
      </w:r>
      <w:bookmarkStart w:id="0" w:name="_GoBack"/>
      <w:bookmarkEnd w:id="0"/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(aucun risque hémorragique)</w:t>
      </w:r>
    </w:p>
    <w:p w:rsidR="00277911" w:rsidRPr="008D2120" w:rsidRDefault="00277911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anticorps anti prothrombinase </w:t>
      </w:r>
    </w:p>
    <w:p w:rsidR="008149A8" w:rsidRPr="008D2120" w:rsidRDefault="008149A8" w:rsidP="000F1103">
      <w:p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</w:p>
    <w:p w:rsidR="00AF27FF" w:rsidRPr="008D2120" w:rsidRDefault="00AF27FF" w:rsidP="000F1103">
      <w:p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</w:p>
    <w:p w:rsidR="006D275A" w:rsidRPr="00CD73F0" w:rsidRDefault="00B86608" w:rsidP="000F1103">
      <w:pPr>
        <w:spacing w:line="276" w:lineRule="auto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             </w:t>
      </w:r>
      <w:r w:rsidR="00CD73F0" w:rsidRPr="00CD73F0">
        <w:rPr>
          <w:rFonts w:asciiTheme="minorHAnsi" w:hAnsiTheme="minorHAnsi"/>
          <w:b/>
          <w:color w:val="000000" w:themeColor="text1"/>
        </w:rPr>
        <w:t>TRAITEMENT</w:t>
      </w:r>
    </w:p>
    <w:p w:rsidR="008149A8" w:rsidRPr="008D2120" w:rsidRDefault="008149A8" w:rsidP="000F1103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t>traitement préventif :</w:t>
      </w:r>
    </w:p>
    <w:p w:rsidR="008149A8" w:rsidRPr="008E5147" w:rsidRDefault="00DE1EB2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  <w:highlight w:val="yellow"/>
        </w:rPr>
      </w:pPr>
      <w:r w:rsidRPr="008E5147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proscrire :</w:t>
      </w:r>
    </w:p>
    <w:p w:rsidR="00DE1EB2" w:rsidRPr="008D2120" w:rsidRDefault="00DE1EB2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injections intramusculaires</w:t>
      </w:r>
    </w:p>
    <w:p w:rsidR="00DE1EB2" w:rsidRPr="008D2120" w:rsidRDefault="00DE1EB2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aspirine, AINS</w:t>
      </w:r>
    </w:p>
    <w:p w:rsidR="00DE1EB2" w:rsidRPr="008D2120" w:rsidRDefault="00DE1EB2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prise de la T° rectale</w:t>
      </w:r>
    </w:p>
    <w:p w:rsidR="00DE1EB2" w:rsidRPr="008D2120" w:rsidRDefault="00DE1EB2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éviter les voies d’abord centrale</w:t>
      </w:r>
      <w:r w:rsidR="001C14EF" w:rsidRPr="008D2120">
        <w:rPr>
          <w:rFonts w:asciiTheme="minorHAnsi" w:hAnsiTheme="minorHAnsi"/>
          <w:color w:val="000000" w:themeColor="text1"/>
          <w:sz w:val="22"/>
          <w:szCs w:val="22"/>
        </w:rPr>
        <w:t>s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</w:p>
    <w:p w:rsidR="00DE1EB2" w:rsidRPr="008D2120" w:rsidRDefault="00DE1EB2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plâtre circulaire</w:t>
      </w:r>
    </w:p>
    <w:p w:rsidR="00DE1EB2" w:rsidRPr="008D2120" w:rsidRDefault="00DE1EB2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anesthésie tronculaire et chirurgie dentaire </w:t>
      </w:r>
    </w:p>
    <w:p w:rsidR="0038768F" w:rsidRPr="008D2120" w:rsidRDefault="00DA357B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immobilisation prolongée &gt; 3jrs en l’absence de lésions osseuses</w:t>
      </w:r>
    </w:p>
    <w:p w:rsidR="0038768F" w:rsidRPr="008D2120" w:rsidRDefault="00DA357B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éviter les gestes invasifs sans couverture substitutive et sans compression locale  </w:t>
      </w:r>
    </w:p>
    <w:p w:rsidR="00DA357B" w:rsidRPr="008E5147" w:rsidRDefault="00DA357B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  <w:highlight w:val="yellow"/>
        </w:rPr>
      </w:pPr>
      <w:r w:rsidRPr="008E5147">
        <w:rPr>
          <w:rFonts w:asciiTheme="minorHAnsi" w:hAnsiTheme="minorHAnsi"/>
          <w:color w:val="000000" w:themeColor="text1"/>
          <w:sz w:val="22"/>
          <w:szCs w:val="22"/>
          <w:highlight w:val="yellow"/>
        </w:rPr>
        <w:t xml:space="preserve">autorisé </w:t>
      </w:r>
    </w:p>
    <w:p w:rsidR="00DA357B" w:rsidRPr="008D2120" w:rsidRDefault="00DA357B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vaccination ou injections en S/C suivie d’une compression locale d’au moins 10min </w:t>
      </w:r>
    </w:p>
    <w:p w:rsidR="0038768F" w:rsidRPr="008D2120" w:rsidRDefault="0038768F" w:rsidP="000F1103">
      <w:pPr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paracétamol en cas de fièvre</w:t>
      </w:r>
    </w:p>
    <w:p w:rsidR="0038768F" w:rsidRPr="008D2120" w:rsidRDefault="0038768F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vaccination anti HBV </w:t>
      </w:r>
    </w:p>
    <w:p w:rsidR="0038768F" w:rsidRPr="008D2120" w:rsidRDefault="0038768F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TRT des cavités dentaires</w:t>
      </w:r>
    </w:p>
    <w:p w:rsidR="0038768F" w:rsidRPr="008D2120" w:rsidRDefault="0038768F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Activités sportives mais non violentes</w:t>
      </w:r>
    </w:p>
    <w:p w:rsidR="0038768F" w:rsidRPr="008D2120" w:rsidRDefault="0038768F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Etablir une carte d’hémophile</w:t>
      </w:r>
    </w:p>
    <w:p w:rsidR="0038768F" w:rsidRPr="008D2120" w:rsidRDefault="0038768F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Consultations + bilans (dentiste, sérologie…) semestrielles </w:t>
      </w:r>
    </w:p>
    <w:p w:rsidR="00AF27FF" w:rsidRPr="008D2120" w:rsidRDefault="00AF27FF" w:rsidP="000F1103">
      <w:pPr>
        <w:spacing w:line="276" w:lineRule="auto"/>
        <w:ind w:left="720"/>
        <w:rPr>
          <w:rFonts w:asciiTheme="minorHAnsi" w:hAnsiTheme="minorHAnsi"/>
          <w:color w:val="000000" w:themeColor="text1"/>
          <w:sz w:val="22"/>
          <w:szCs w:val="22"/>
        </w:rPr>
      </w:pPr>
    </w:p>
    <w:p w:rsidR="00C86E3B" w:rsidRPr="008D2120" w:rsidRDefault="00AF27FF" w:rsidP="000F1103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t>traitement substitutif :</w:t>
      </w:r>
    </w:p>
    <w:p w:rsidR="0038768F" w:rsidRPr="008D2120" w:rsidRDefault="0038768F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repose sur la perfusio</w:t>
      </w:r>
      <w:r w:rsidR="00C86E3B" w:rsidRPr="008D2120">
        <w:rPr>
          <w:rFonts w:asciiTheme="minorHAnsi" w:hAnsiTheme="minorHAnsi"/>
          <w:color w:val="000000" w:themeColor="text1"/>
          <w:sz w:val="22"/>
          <w:szCs w:val="22"/>
        </w:rPr>
        <w:t>n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de concentré F VIII, F IX</w:t>
      </w:r>
    </w:p>
    <w:p w:rsidR="00F245B0" w:rsidRPr="008D2120" w:rsidRDefault="00F245B0" w:rsidP="000F1103">
      <w:pPr>
        <w:numPr>
          <w:ilvl w:val="1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HA : cryoprécipi</w:t>
      </w:r>
      <w:r w:rsidR="00A7600D" w:rsidRPr="008D2120">
        <w:rPr>
          <w:rFonts w:asciiTheme="minorHAnsi" w:hAnsiTheme="minorHAnsi"/>
          <w:color w:val="000000" w:themeColor="text1"/>
          <w:sz w:val="22"/>
          <w:szCs w:val="22"/>
        </w:rPr>
        <w:t>té, ou concentré de VIII (3inj/jr),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1U/kg remonte le Tx de 2%, </w:t>
      </w:r>
    </w:p>
    <w:p w:rsidR="00F245B0" w:rsidRPr="008D2120" w:rsidRDefault="00A7600D" w:rsidP="0038384F">
      <w:pPr>
        <w:numPr>
          <w:ilvl w:val="1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HB : concentré IX (2inj/jr),</w:t>
      </w:r>
      <w:r w:rsidR="00F245B0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1U/kg remonte le Tx de 1%, </w:t>
      </w:r>
    </w:p>
    <w:p w:rsidR="00A7600D" w:rsidRPr="008D2120" w:rsidRDefault="00A7600D" w:rsidP="0038384F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la durée du TRT dépend de l</w:t>
      </w:r>
      <w:r w:rsidR="0038384F" w:rsidRPr="008D2120">
        <w:rPr>
          <w:rFonts w:asciiTheme="minorHAnsi" w:hAnsiTheme="minorHAnsi"/>
          <w:color w:val="000000" w:themeColor="text1"/>
          <w:sz w:val="22"/>
          <w:szCs w:val="22"/>
        </w:rPr>
        <w:t>’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accident ou l’intervention ayant nécessite le TRT (1 prise en cas d’hémarthrose de faible importance, 1mois pour la chirurgie orthopédique) </w:t>
      </w:r>
    </w:p>
    <w:p w:rsidR="00C86E3B" w:rsidRPr="008D2120" w:rsidRDefault="00C86E3B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on peut utiliser du sang total ou PFC si indisponibilité de concentré en F VIII, IX, ou si on ignore le type de l’hémophilie </w:t>
      </w:r>
    </w:p>
    <w:p w:rsidR="00F245B0" w:rsidRPr="008D2120" w:rsidRDefault="00F245B0" w:rsidP="000F1103">
      <w:p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</w:p>
    <w:p w:rsidR="00A7600D" w:rsidRPr="008D2120" w:rsidRDefault="00A7600D" w:rsidP="000F1103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t xml:space="preserve">situation </w:t>
      </w:r>
      <w:r w:rsidR="00AF27FF" w:rsidRPr="008D2120">
        <w:rPr>
          <w:rFonts w:asciiTheme="minorHAnsi" w:hAnsiTheme="minorHAnsi"/>
          <w:b/>
          <w:color w:val="000000" w:themeColor="text1"/>
          <w:sz w:val="22"/>
          <w:szCs w:val="22"/>
        </w:rPr>
        <w:t>nécessitant</w:t>
      </w: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t xml:space="preserve"> un TRT adjuvant</w:t>
      </w:r>
    </w:p>
    <w:p w:rsidR="00A7600D" w:rsidRPr="008D2120" w:rsidRDefault="00A7600D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hémarthroses ponctionnés si besoin, immobilisation brève + rééducation</w:t>
      </w:r>
    </w:p>
    <w:p w:rsidR="00A7600D" w:rsidRPr="008D2120" w:rsidRDefault="003B563C" w:rsidP="001C14EF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hémarthrose volumineu</w:t>
      </w:r>
      <w:r w:rsidR="001C14EF" w:rsidRPr="008D2120">
        <w:rPr>
          <w:rFonts w:asciiTheme="minorHAnsi" w:hAnsiTheme="minorHAnsi"/>
          <w:color w:val="000000" w:themeColor="text1"/>
          <w:sz w:val="22"/>
          <w:szCs w:val="22"/>
        </w:rPr>
        <w:t>ses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peuvent nécessiter une </w:t>
      </w:r>
      <w:r w:rsidRPr="00063465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corticothérapie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</w:p>
    <w:p w:rsidR="003B563C" w:rsidRPr="008D2120" w:rsidRDefault="003B563C" w:rsidP="00B328BB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hématurie : repos + diurèse importante, TRT substit</w:t>
      </w:r>
      <w:r w:rsidR="00B328BB" w:rsidRPr="008D2120">
        <w:rPr>
          <w:rFonts w:asciiTheme="minorHAnsi" w:hAnsiTheme="minorHAnsi"/>
          <w:color w:val="000000" w:themeColor="text1"/>
          <w:sz w:val="22"/>
          <w:szCs w:val="22"/>
        </w:rPr>
        <w:t>utif peu efficace, ne jamais utiliser</w:t>
      </w:r>
      <w:r w:rsidR="0038384F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en 1</w:t>
      </w:r>
      <w:r w:rsidR="0038384F" w:rsidRPr="008D2120">
        <w:rPr>
          <w:rFonts w:asciiTheme="minorHAnsi" w:hAnsiTheme="minorHAnsi"/>
          <w:color w:val="000000" w:themeColor="text1"/>
          <w:sz w:val="22"/>
          <w:szCs w:val="22"/>
          <w:vertAlign w:val="superscript"/>
        </w:rPr>
        <w:t>ère</w:t>
      </w:r>
      <w:r w:rsidR="0038384F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intention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, </w:t>
      </w:r>
      <w:r w:rsidR="008E5147" w:rsidRPr="008D2120">
        <w:rPr>
          <w:rFonts w:asciiTheme="minorHAnsi" w:hAnsiTheme="minorHAnsi"/>
          <w:color w:val="000000" w:themeColor="text1"/>
          <w:sz w:val="22"/>
          <w:szCs w:val="22"/>
        </w:rPr>
        <w:t>l’anti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DB7D8E" w:rsidRPr="008D2120">
        <w:rPr>
          <w:rFonts w:asciiTheme="minorHAnsi" w:hAnsiTheme="minorHAnsi"/>
          <w:color w:val="000000" w:themeColor="text1"/>
          <w:sz w:val="22"/>
          <w:szCs w:val="22"/>
        </w:rPr>
        <w:t>-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>fibrinolytiques sont CI</w:t>
      </w:r>
      <w:r w:rsidR="005A65FD">
        <w:rPr>
          <w:rFonts w:asciiTheme="minorHAnsi" w:hAnsiTheme="minorHAnsi"/>
          <w:color w:val="000000" w:themeColor="text1"/>
          <w:sz w:val="22"/>
          <w:szCs w:val="22"/>
        </w:rPr>
        <w:t xml:space="preserve"> efficaces au cours des hémorragies muqueuses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</w:p>
    <w:p w:rsidR="003B563C" w:rsidRPr="008D2120" w:rsidRDefault="003B563C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Desmopressine</w:t>
      </w:r>
      <w:r w:rsidR="00AC1786"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en IV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chez l’hémophile mineur ou modéré </w:t>
      </w:r>
      <w:r w:rsidR="00AC1786" w:rsidRPr="008D2120">
        <w:rPr>
          <w:rFonts w:asciiTheme="minorHAnsi" w:hAnsiTheme="minorHAnsi"/>
          <w:color w:val="000000" w:themeColor="text1"/>
          <w:sz w:val="22"/>
          <w:szCs w:val="22"/>
        </w:rPr>
        <w:t>(permet le relargage du F VIII), existe en spray</w:t>
      </w:r>
    </w:p>
    <w:p w:rsidR="00E14AEB" w:rsidRPr="000A1FE3" w:rsidRDefault="000A1FE3" w:rsidP="000A1FE3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CTC utilisés au stade d’arthropathie chronique +++</w:t>
      </w:r>
    </w:p>
    <w:p w:rsidR="00AC1786" w:rsidRPr="008D2120" w:rsidRDefault="00347587" w:rsidP="000A1FE3">
      <w:pPr>
        <w:spacing w:line="276" w:lineRule="auto"/>
        <w:ind w:left="720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b/>
          <w:color w:val="000000" w:themeColor="text1"/>
          <w:sz w:val="22"/>
          <w:szCs w:val="22"/>
        </w:rPr>
        <w:t>Complication</w:t>
      </w:r>
      <w:r w:rsidR="00E14AEB" w:rsidRPr="008D2120">
        <w:rPr>
          <w:rFonts w:asciiTheme="minorHAnsi" w:hAnsiTheme="minorHAnsi"/>
          <w:b/>
          <w:color w:val="000000" w:themeColor="text1"/>
          <w:sz w:val="22"/>
          <w:szCs w:val="22"/>
        </w:rPr>
        <w:t xml:space="preserve"> possibles</w:t>
      </w:r>
    </w:p>
    <w:p w:rsidR="00E14AEB" w:rsidRPr="008D2120" w:rsidRDefault="00E14AEB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complication</w:t>
      </w:r>
      <w:r w:rsidR="0038384F" w:rsidRPr="008D2120">
        <w:rPr>
          <w:rFonts w:asciiTheme="minorHAnsi" w:hAnsiTheme="minorHAnsi"/>
          <w:color w:val="000000" w:themeColor="text1"/>
          <w:sz w:val="22"/>
          <w:szCs w:val="22"/>
        </w:rPr>
        <w:t>s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infectieuse</w:t>
      </w:r>
      <w:r w:rsidR="0038384F" w:rsidRPr="008D2120">
        <w:rPr>
          <w:rFonts w:asciiTheme="minorHAnsi" w:hAnsiTheme="minorHAnsi"/>
          <w:color w:val="000000" w:themeColor="text1"/>
          <w:sz w:val="22"/>
          <w:szCs w:val="22"/>
        </w:rPr>
        <w:t>s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 xml:space="preserve"> en particuliers transmission virales</w:t>
      </w:r>
    </w:p>
    <w:p w:rsidR="002F626C" w:rsidRDefault="00E14AEB" w:rsidP="000F1103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8D2120">
        <w:rPr>
          <w:rFonts w:asciiTheme="minorHAnsi" w:hAnsiTheme="minorHAnsi"/>
          <w:color w:val="000000" w:themeColor="text1"/>
          <w:sz w:val="22"/>
          <w:szCs w:val="22"/>
        </w:rPr>
        <w:t>dé</w:t>
      </w:r>
      <w:r w:rsidR="005A65FD">
        <w:rPr>
          <w:rFonts w:asciiTheme="minorHAnsi" w:hAnsiTheme="minorHAnsi"/>
          <w:color w:val="000000" w:themeColor="text1"/>
          <w:sz w:val="22"/>
          <w:szCs w:val="22"/>
        </w:rPr>
        <w:t xml:space="preserve">veloppement </w:t>
      </w:r>
      <w:r w:rsidR="005A65FD" w:rsidRPr="005A65FD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d’anticoagulant circulant</w:t>
      </w:r>
      <w:r w:rsidR="005A65FD">
        <w:rPr>
          <w:rFonts w:asciiTheme="minorHAnsi" w:hAnsiTheme="minorHAnsi"/>
          <w:color w:val="000000" w:themeColor="text1"/>
          <w:sz w:val="22"/>
          <w:szCs w:val="22"/>
        </w:rPr>
        <w:t xml:space="preserve"> qui peut donner des </w:t>
      </w:r>
      <w:r w:rsidR="005A65FD" w:rsidRPr="005A65FD">
        <w:rPr>
          <w:rFonts w:asciiTheme="minorHAnsi" w:hAnsiTheme="minorHAnsi"/>
          <w:color w:val="000000" w:themeColor="text1"/>
          <w:sz w:val="22"/>
          <w:szCs w:val="22"/>
          <w:highlight w:val="yellow"/>
        </w:rPr>
        <w:t>hémorragie ou des thromboses</w:t>
      </w:r>
      <w:r w:rsidRPr="008D2120">
        <w:rPr>
          <w:rFonts w:asciiTheme="minorHAnsi" w:hAnsiTheme="minorHAnsi"/>
          <w:color w:val="000000" w:themeColor="text1"/>
          <w:sz w:val="22"/>
          <w:szCs w:val="22"/>
        </w:rPr>
        <w:t>, plus rarement pour le F IX</w:t>
      </w:r>
    </w:p>
    <w:p w:rsidR="002529E3" w:rsidRPr="002529E3" w:rsidRDefault="002529E3" w:rsidP="002529E3">
      <w:pPr>
        <w:spacing w:line="276" w:lineRule="auto"/>
        <w:ind w:left="1080"/>
        <w:rPr>
          <w:rFonts w:asciiTheme="minorHAnsi" w:hAnsiTheme="minorHAnsi"/>
          <w:b/>
          <w:color w:val="000000" w:themeColor="text1"/>
          <w:u w:val="single"/>
        </w:rPr>
      </w:pPr>
      <w:r w:rsidRPr="002529E3">
        <w:rPr>
          <w:rFonts w:asciiTheme="minorHAnsi" w:hAnsiTheme="minorHAnsi"/>
          <w:b/>
          <w:color w:val="000000" w:themeColor="text1"/>
          <w:u w:val="single"/>
        </w:rPr>
        <w:lastRenderedPageBreak/>
        <w:t>REMARQUES :</w:t>
      </w:r>
    </w:p>
    <w:p w:rsidR="002529E3" w:rsidRPr="002529E3" w:rsidRDefault="002529E3" w:rsidP="002529E3">
      <w:pPr>
        <w:pStyle w:val="Paragraphedeliste"/>
        <w:numPr>
          <w:ilvl w:val="0"/>
          <w:numId w:val="1"/>
        </w:numPr>
        <w:spacing w:line="276" w:lineRule="auto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2529E3">
        <w:rPr>
          <w:rFonts w:asciiTheme="minorHAnsi" w:hAnsiTheme="minorHAnsi"/>
          <w:b/>
          <w:color w:val="000000" w:themeColor="text1"/>
          <w:sz w:val="28"/>
          <w:szCs w:val="28"/>
        </w:rPr>
        <w:t>Immobilisation</w:t>
      </w:r>
    </w:p>
    <w:p w:rsidR="002529E3" w:rsidRDefault="002529E3" w:rsidP="002529E3">
      <w:pPr>
        <w:pStyle w:val="Paragraphedeliste"/>
        <w:numPr>
          <w:ilvl w:val="0"/>
          <w:numId w:val="1"/>
        </w:numPr>
        <w:spacing w:line="276" w:lineRule="auto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2529E3">
        <w:rPr>
          <w:rFonts w:asciiTheme="minorHAnsi" w:hAnsiTheme="minorHAnsi"/>
          <w:b/>
          <w:color w:val="000000" w:themeColor="text1"/>
          <w:sz w:val="28"/>
          <w:szCs w:val="28"/>
        </w:rPr>
        <w:t>Trt substitutif</w:t>
      </w:r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</w:p>
    <w:p w:rsidR="002529E3" w:rsidRDefault="00965D8A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noProof/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76pt;margin-top:6.05pt;width:.75pt;height:45pt;z-index:251660288" o:connectortype="straight">
            <v:stroke endarrow="block"/>
          </v:shape>
        </w:pict>
      </w: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2529E3" w:rsidRDefault="00D83F20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Corticoïdes</w:t>
      </w:r>
    </w:p>
    <w:p w:rsidR="002529E3" w:rsidRDefault="00965D8A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noProof/>
          <w:color w:val="000000" w:themeColor="text1"/>
          <w:sz w:val="28"/>
          <w:szCs w:val="28"/>
        </w:rPr>
        <w:pict>
          <v:shape id="_x0000_s1030" type="#_x0000_t32" style="position:absolute;left:0;text-align:left;margin-left:278.25pt;margin-top:7.7pt;width:0;height:44.25pt;z-index:251661312" o:connectortype="straight">
            <v:stroke endarrow="block"/>
          </v:shape>
        </w:pict>
      </w: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Ponction / suture</w:t>
      </w:r>
    </w:p>
    <w:p w:rsidR="002529E3" w:rsidRDefault="00965D8A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noProof/>
          <w:color w:val="000000" w:themeColor="text1"/>
          <w:sz w:val="28"/>
          <w:szCs w:val="28"/>
        </w:rPr>
        <w:pict>
          <v:shape id="_x0000_s1031" type="#_x0000_t32" style="position:absolute;left:0;text-align:left;margin-left:279pt;margin-top:3.3pt;width:0;height:36.75pt;z-index:251662336" o:connectortype="straight">
            <v:stroke endarrow="block"/>
          </v:shape>
        </w:pict>
      </w: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Permis après </w:t>
      </w: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Trt substitutif</w:t>
      </w:r>
    </w:p>
    <w:p w:rsidR="002529E3" w:rsidRDefault="002529E3" w:rsidP="002529E3">
      <w:pPr>
        <w:pStyle w:val="Paragraphedeliste"/>
        <w:spacing w:line="276" w:lineRule="auto"/>
        <w:ind w:left="1080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BE1083" w:rsidRPr="004528E5" w:rsidRDefault="004528E5" w:rsidP="00BE1083">
      <w:pPr>
        <w:pStyle w:val="Paragraphedeliste"/>
        <w:spacing w:line="276" w:lineRule="auto"/>
        <w:ind w:left="1080"/>
        <w:rPr>
          <w:rFonts w:asciiTheme="minorHAnsi" w:hAnsiTheme="minorHAnsi"/>
          <w:b/>
          <w:color w:val="000000" w:themeColor="text1"/>
          <w:sz w:val="28"/>
          <w:szCs w:val="28"/>
          <w:u w:val="single"/>
        </w:rPr>
      </w:pPr>
      <w:r w:rsidRPr="004528E5">
        <w:rPr>
          <w:rFonts w:asciiTheme="minorHAnsi" w:hAnsiTheme="minorHAnsi"/>
          <w:b/>
          <w:color w:val="FF0000"/>
          <w:sz w:val="28"/>
          <w:szCs w:val="28"/>
          <w:u w:val="single"/>
        </w:rPr>
        <w:t>Hémarthroses</w:t>
      </w:r>
      <w:r w:rsidR="00BE1083" w:rsidRPr="004528E5">
        <w:rPr>
          <w:rFonts w:asciiTheme="minorHAnsi" w:hAnsiTheme="minorHAnsi"/>
          <w:b/>
          <w:color w:val="FF0000"/>
          <w:sz w:val="28"/>
          <w:szCs w:val="28"/>
          <w:u w:val="single"/>
        </w:rPr>
        <w:t> :</w:t>
      </w:r>
    </w:p>
    <w:p w:rsidR="00BE1083" w:rsidRDefault="00BE1083" w:rsidP="00BE1083">
      <w:pPr>
        <w:pStyle w:val="Paragraphedeliste"/>
        <w:spacing w:line="276" w:lineRule="auto"/>
        <w:ind w:left="1080"/>
        <w:rPr>
          <w:rFonts w:asciiTheme="minorHAnsi" w:hAnsiTheme="minorHAnsi"/>
          <w:b/>
          <w:color w:val="000000" w:themeColor="text1"/>
          <w:sz w:val="28"/>
          <w:szCs w:val="28"/>
        </w:rPr>
      </w:pPr>
    </w:p>
    <w:p w:rsidR="00BE1083" w:rsidRDefault="00BE1083" w:rsidP="00BE1083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Coagulation : hémophilie, anticoagulants</w:t>
      </w:r>
    </w:p>
    <w:p w:rsidR="00BE1083" w:rsidRDefault="00BE1083" w:rsidP="00BE1083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Cartilage : arthrose, chondrocalcinose</w:t>
      </w:r>
    </w:p>
    <w:p w:rsidR="00BE1083" w:rsidRDefault="00BE1083" w:rsidP="00BE1083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Téguments : rupture</w:t>
      </w:r>
    </w:p>
    <w:p w:rsidR="00BE1083" w:rsidRDefault="00BE1083" w:rsidP="00BE1083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Os : fracture</w:t>
      </w:r>
    </w:p>
    <w:p w:rsidR="00BE1083" w:rsidRDefault="00BE1083" w:rsidP="00BE1083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Capsule : rupture, synovite</w:t>
      </w:r>
    </w:p>
    <w:p w:rsidR="00BE1083" w:rsidRPr="00BE1083" w:rsidRDefault="00BE1083" w:rsidP="00BE1083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Tumeur</w:t>
      </w:r>
    </w:p>
    <w:sectPr w:rsidR="00BE1083" w:rsidRPr="00BE1083" w:rsidSect="00AF27FF"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D8A" w:rsidRDefault="00965D8A" w:rsidP="002529E3">
      <w:r>
        <w:separator/>
      </w:r>
    </w:p>
  </w:endnote>
  <w:endnote w:type="continuationSeparator" w:id="0">
    <w:p w:rsidR="00965D8A" w:rsidRDefault="00965D8A" w:rsidP="0025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D8A" w:rsidRDefault="00965D8A" w:rsidP="002529E3">
      <w:r>
        <w:separator/>
      </w:r>
    </w:p>
  </w:footnote>
  <w:footnote w:type="continuationSeparator" w:id="0">
    <w:p w:rsidR="00965D8A" w:rsidRDefault="00965D8A" w:rsidP="00252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75A36"/>
    <w:multiLevelType w:val="multilevel"/>
    <w:tmpl w:val="47F4B306"/>
    <w:lvl w:ilvl="0"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021464"/>
    <w:multiLevelType w:val="multilevel"/>
    <w:tmpl w:val="A3FA210A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5D2C18"/>
    <w:multiLevelType w:val="hybridMultilevel"/>
    <w:tmpl w:val="3432B692"/>
    <w:lvl w:ilvl="0" w:tplc="EFDC646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5C7AAC"/>
    <w:multiLevelType w:val="hybridMultilevel"/>
    <w:tmpl w:val="09F2C8BE"/>
    <w:lvl w:ilvl="0" w:tplc="5D86423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DFB5A60"/>
    <w:multiLevelType w:val="hybridMultilevel"/>
    <w:tmpl w:val="A3FA210A"/>
    <w:lvl w:ilvl="0" w:tplc="040C000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41E1"/>
    <w:rsid w:val="00021856"/>
    <w:rsid w:val="000446DA"/>
    <w:rsid w:val="00055BCF"/>
    <w:rsid w:val="00063465"/>
    <w:rsid w:val="000A1FE3"/>
    <w:rsid w:val="000F1103"/>
    <w:rsid w:val="001C14EF"/>
    <w:rsid w:val="00203F47"/>
    <w:rsid w:val="00234CA5"/>
    <w:rsid w:val="002529E3"/>
    <w:rsid w:val="00277911"/>
    <w:rsid w:val="002E4DDF"/>
    <w:rsid w:val="002F620C"/>
    <w:rsid w:val="002F626C"/>
    <w:rsid w:val="00347587"/>
    <w:rsid w:val="0038384F"/>
    <w:rsid w:val="0038768F"/>
    <w:rsid w:val="003B563C"/>
    <w:rsid w:val="003D7235"/>
    <w:rsid w:val="004528E5"/>
    <w:rsid w:val="0046226E"/>
    <w:rsid w:val="005A65FD"/>
    <w:rsid w:val="006014A7"/>
    <w:rsid w:val="00615268"/>
    <w:rsid w:val="00620021"/>
    <w:rsid w:val="00667AA1"/>
    <w:rsid w:val="006D275A"/>
    <w:rsid w:val="00762AEA"/>
    <w:rsid w:val="008149A8"/>
    <w:rsid w:val="00815A28"/>
    <w:rsid w:val="00855AC6"/>
    <w:rsid w:val="008D2120"/>
    <w:rsid w:val="008E5147"/>
    <w:rsid w:val="00965D8A"/>
    <w:rsid w:val="009F3F03"/>
    <w:rsid w:val="00A7600D"/>
    <w:rsid w:val="00AC1786"/>
    <w:rsid w:val="00AD4620"/>
    <w:rsid w:val="00AF27FF"/>
    <w:rsid w:val="00B328BB"/>
    <w:rsid w:val="00B86608"/>
    <w:rsid w:val="00BE1083"/>
    <w:rsid w:val="00BE6E39"/>
    <w:rsid w:val="00C86E3B"/>
    <w:rsid w:val="00CD73F0"/>
    <w:rsid w:val="00CF1B0B"/>
    <w:rsid w:val="00D14343"/>
    <w:rsid w:val="00D634CC"/>
    <w:rsid w:val="00D83F20"/>
    <w:rsid w:val="00DA357B"/>
    <w:rsid w:val="00DB7D8E"/>
    <w:rsid w:val="00DE1EB2"/>
    <w:rsid w:val="00E14AEB"/>
    <w:rsid w:val="00EA6A0B"/>
    <w:rsid w:val="00F245B0"/>
    <w:rsid w:val="00FA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30"/>
      </o:rules>
    </o:shapelayout>
  </w:shapeDefaults>
  <w:decimalSymbol w:val=","/>
  <w:listSeparator w:val=";"/>
  <w15:docId w15:val="{A8867A4E-E5D9-41A9-B009-C0A17395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4A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03F47"/>
    <w:pPr>
      <w:ind w:left="720"/>
      <w:contextualSpacing/>
    </w:pPr>
  </w:style>
  <w:style w:type="paragraph" w:styleId="En-tte">
    <w:name w:val="header"/>
    <w:basedOn w:val="Normal"/>
    <w:link w:val="En-tteCar"/>
    <w:unhideWhenUsed/>
    <w:rsid w:val="002529E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2529E3"/>
    <w:rPr>
      <w:sz w:val="24"/>
      <w:szCs w:val="24"/>
    </w:rPr>
  </w:style>
  <w:style w:type="paragraph" w:styleId="Pieddepage">
    <w:name w:val="footer"/>
    <w:basedOn w:val="Normal"/>
    <w:link w:val="PieddepageCar"/>
    <w:unhideWhenUsed/>
    <w:rsid w:val="002529E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2529E3"/>
    <w:rPr>
      <w:sz w:val="24"/>
      <w:szCs w:val="24"/>
    </w:rPr>
  </w:style>
  <w:style w:type="paragraph" w:styleId="Textedebulles">
    <w:name w:val="Balloon Text"/>
    <w:basedOn w:val="Normal"/>
    <w:link w:val="TextedebullesCar"/>
    <w:semiHidden/>
    <w:unhideWhenUsed/>
    <w:rsid w:val="004528E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semiHidden/>
    <w:rsid w:val="00452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644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Hémophilie</vt:lpstr>
    </vt:vector>
  </TitlesOfParts>
  <Company/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Hémophilie</dc:title>
  <dc:creator>megh</dc:creator>
  <cp:lastModifiedBy>yacin</cp:lastModifiedBy>
  <cp:revision>24</cp:revision>
  <cp:lastPrinted>2015-05-10T17:12:00Z</cp:lastPrinted>
  <dcterms:created xsi:type="dcterms:W3CDTF">2010-03-07T15:46:00Z</dcterms:created>
  <dcterms:modified xsi:type="dcterms:W3CDTF">2015-05-10T17:13:00Z</dcterms:modified>
</cp:coreProperties>
</file>