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shd w:val="clear" w:color="auto" w:fill="FFFFFF"/>
        <w:tblCellMar>
          <w:left w:w="0" w:type="dxa"/>
          <w:right w:w="0" w:type="dxa"/>
        </w:tblCellMar>
        <w:tblLook w:val="04A0"/>
      </w:tblPr>
      <w:tblGrid>
        <w:gridCol w:w="9072"/>
      </w:tblGrid>
      <w:tr w:rsidR="006F6696" w:rsidRPr="006F6696" w:rsidTr="006F6696">
        <w:trPr>
          <w:tblCellSpacing w:w="0" w:type="dxa"/>
        </w:trPr>
        <w:tc>
          <w:tcPr>
            <w:tcW w:w="0" w:type="auto"/>
            <w:shd w:val="clear" w:color="auto" w:fill="FFFFFF"/>
            <w:vAlign w:val="center"/>
            <w:hideMark/>
          </w:tcPr>
          <w:p w:rsidR="006F6696" w:rsidRPr="006F6696" w:rsidRDefault="006F6696" w:rsidP="006F6696">
            <w:pPr>
              <w:spacing w:after="24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b/>
                <w:bCs/>
                <w:color w:val="000000"/>
                <w:sz w:val="20"/>
                <w:lang w:eastAsia="fr-FR"/>
              </w:rPr>
              <w:t>Les microorganismes sont indispensables car en participant aux cycles élémentaires de la nature, ils permettent le maintien de la vie. Ils sont utiles mais peuvent également être néfastes.</w:t>
            </w:r>
          </w:p>
        </w:tc>
      </w:tr>
      <w:tr w:rsidR="006F6696" w:rsidRPr="006F6696" w:rsidTr="006F6696">
        <w:trPr>
          <w:tblCellSpacing w:w="0" w:type="dxa"/>
        </w:trPr>
        <w:tc>
          <w:tcPr>
            <w:tcW w:w="0" w:type="auto"/>
            <w:shd w:val="clear" w:color="auto" w:fill="FFFFFF"/>
            <w:vAlign w:val="center"/>
            <w:hideMark/>
          </w:tcPr>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p>
        </w:tc>
      </w:tr>
      <w:tr w:rsidR="006F6696" w:rsidRPr="006F6696" w:rsidTr="006F6696">
        <w:trPr>
          <w:tblCellSpacing w:w="0" w:type="dxa"/>
        </w:trPr>
        <w:tc>
          <w:tcPr>
            <w:tcW w:w="0" w:type="auto"/>
            <w:shd w:val="clear" w:color="auto" w:fill="FFFFFF"/>
            <w:vAlign w:val="center"/>
            <w:hideMark/>
          </w:tcPr>
          <w:p w:rsidR="006F6696" w:rsidRPr="006F6696" w:rsidRDefault="006F6696" w:rsidP="006F6696">
            <w:pPr>
              <w:spacing w:after="24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Les microorganismes peuvent tour à tour être indispensables, utiles mais également néfastes.</w:t>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b/>
                <w:bCs/>
                <w:color w:val="000000"/>
                <w:sz w:val="20"/>
                <w:lang w:eastAsia="fr-FR"/>
              </w:rPr>
              <w:t>Les microorganismes sont indispensables</w:t>
            </w:r>
            <w:r w:rsidRPr="006F6696">
              <w:rPr>
                <w:rFonts w:ascii="Trebuchet MS" w:eastAsia="Times New Roman" w:hAnsi="Trebuchet MS" w:cs="Times New Roman"/>
                <w:color w:val="000000"/>
                <w:sz w:val="20"/>
                <w:szCs w:val="20"/>
                <w:lang w:eastAsia="fr-FR"/>
              </w:rPr>
              <w:br/>
            </w:r>
          </w:p>
          <w:p w:rsidR="006F6696" w:rsidRPr="006F6696" w:rsidRDefault="006F6696" w:rsidP="006F6696">
            <w:pPr>
              <w:spacing w:after="0" w:line="270" w:lineRule="atLeast"/>
              <w:ind w:left="720"/>
              <w:rPr>
                <w:rFonts w:ascii="Trebuchet MS" w:eastAsia="Times New Roman" w:hAnsi="Trebuchet MS" w:cs="Times New Roman"/>
                <w:color w:val="000000"/>
                <w:sz w:val="20"/>
                <w:szCs w:val="20"/>
                <w:lang w:eastAsia="fr-FR"/>
              </w:rPr>
            </w:pPr>
          </w:p>
          <w:p w:rsidR="006F6696" w:rsidRPr="006F6696" w:rsidRDefault="006F6696" w:rsidP="006F6696">
            <w:pPr>
              <w:numPr>
                <w:ilvl w:val="0"/>
                <w:numId w:val="1"/>
              </w:numPr>
              <w:spacing w:before="100" w:beforeAutospacing="1" w:after="100" w:afterAutospacing="1"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ils participent aux cycles élémentaires de la nature et permettent le maintien de la vie sur Terre. Ils dégradent le carbone organique et l’oxydent en carbone minéral, contribuant à maintenir le taux de carbone atmosphérique (CO</w:t>
            </w:r>
            <w:r w:rsidRPr="006F6696">
              <w:rPr>
                <w:rFonts w:ascii="Trebuchet MS" w:eastAsia="Times New Roman" w:hAnsi="Trebuchet MS" w:cs="Times New Roman"/>
                <w:color w:val="000000"/>
                <w:sz w:val="20"/>
                <w:szCs w:val="20"/>
                <w:vertAlign w:val="subscript"/>
                <w:lang w:eastAsia="fr-FR"/>
              </w:rPr>
              <w:t>2</w:t>
            </w:r>
            <w:r w:rsidRPr="006F6696">
              <w:rPr>
                <w:rFonts w:ascii="Trebuchet MS" w:eastAsia="Times New Roman" w:hAnsi="Trebuchet MS" w:cs="Times New Roman"/>
                <w:color w:val="000000"/>
                <w:sz w:val="20"/>
                <w:szCs w:val="20"/>
                <w:lang w:eastAsia="fr-FR"/>
              </w:rPr>
              <w:t>). Ils transforment la matière inorganique en matière organique tout en produisant de l’oxygène. Ainsi, le phytoplancton des eaux continentales et marines fournit 70 % de l’oxygène de la biosphère. Ils fixent l’azote atmosphérique (N</w:t>
            </w:r>
            <w:r w:rsidRPr="006F6696">
              <w:rPr>
                <w:rFonts w:ascii="Trebuchet MS" w:eastAsia="Times New Roman" w:hAnsi="Trebuchet MS" w:cs="Times New Roman"/>
                <w:color w:val="000000"/>
                <w:sz w:val="20"/>
                <w:szCs w:val="20"/>
                <w:vertAlign w:val="subscript"/>
                <w:lang w:eastAsia="fr-FR"/>
              </w:rPr>
              <w:t>2</w:t>
            </w:r>
            <w:r w:rsidRPr="006F6696">
              <w:rPr>
                <w:rFonts w:ascii="Trebuchet MS" w:eastAsia="Times New Roman" w:hAnsi="Trebuchet MS" w:cs="Times New Roman"/>
                <w:color w:val="000000"/>
                <w:sz w:val="20"/>
                <w:szCs w:val="20"/>
                <w:lang w:eastAsia="fr-FR"/>
              </w:rPr>
              <w:t>) en forme utilisable pour les plantes (NH</w:t>
            </w:r>
            <w:r w:rsidRPr="006F6696">
              <w:rPr>
                <w:rFonts w:ascii="Trebuchet MS" w:eastAsia="Times New Roman" w:hAnsi="Trebuchet MS" w:cs="Times New Roman"/>
                <w:color w:val="000000"/>
                <w:sz w:val="20"/>
                <w:szCs w:val="20"/>
                <w:vertAlign w:val="subscript"/>
                <w:lang w:eastAsia="fr-FR"/>
              </w:rPr>
              <w:t>3</w:t>
            </w:r>
            <w:r w:rsidRPr="006F6696">
              <w:rPr>
                <w:rFonts w:ascii="Trebuchet MS" w:eastAsia="Times New Roman" w:hAnsi="Trebuchet MS" w:cs="Times New Roman"/>
                <w:color w:val="000000"/>
                <w:sz w:val="20"/>
                <w:szCs w:val="20"/>
                <w:lang w:eastAsia="fr-FR"/>
              </w:rPr>
              <w:t>). Ils participent aux cycles du phosphate et du sulfate ;</w:t>
            </w:r>
          </w:p>
          <w:p w:rsidR="006F6696" w:rsidRPr="006F6696" w:rsidRDefault="006F6696" w:rsidP="006F6696">
            <w:pPr>
              <w:spacing w:before="100" w:beforeAutospacing="1" w:after="100" w:afterAutospacing="1" w:line="270" w:lineRule="atLeast"/>
              <w:ind w:left="720"/>
              <w:rPr>
                <w:rFonts w:ascii="Trebuchet MS" w:eastAsia="Times New Roman" w:hAnsi="Trebuchet MS" w:cs="Times New Roman"/>
                <w:color w:val="000000"/>
                <w:sz w:val="20"/>
                <w:szCs w:val="20"/>
                <w:lang w:eastAsia="fr-FR"/>
              </w:rPr>
            </w:pPr>
          </w:p>
          <w:p w:rsidR="006F6696" w:rsidRPr="006F6696" w:rsidRDefault="006F6696" w:rsidP="006F6696">
            <w:pPr>
              <w:numPr>
                <w:ilvl w:val="0"/>
                <w:numId w:val="1"/>
              </w:numPr>
              <w:spacing w:before="100" w:beforeAutospacing="1" w:after="100" w:afterAutospacing="1"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ils entretiennent des relations symbiotiques c’est-à-dire durables et réciproquement profitables avec des organismes variés.</w:t>
            </w:r>
          </w:p>
          <w:p w:rsidR="006F6696" w:rsidRPr="006F6696" w:rsidRDefault="006F6696" w:rsidP="006F6696">
            <w:pPr>
              <w:spacing w:before="100" w:beforeAutospacing="1" w:after="100" w:afterAutospacing="1" w:line="270" w:lineRule="atLeast"/>
              <w:ind w:left="720"/>
              <w:rPr>
                <w:rFonts w:ascii="Trebuchet MS" w:eastAsia="Times New Roman" w:hAnsi="Trebuchet MS" w:cs="Times New Roman"/>
                <w:color w:val="000000"/>
                <w:sz w:val="20"/>
                <w:szCs w:val="20"/>
                <w:lang w:eastAsia="fr-FR"/>
              </w:rPr>
            </w:pP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t>Ces relations servent différentes fonctions :</w:t>
            </w:r>
          </w:p>
          <w:p w:rsidR="006F6696" w:rsidRPr="006F6696" w:rsidRDefault="006F6696" w:rsidP="006F6696">
            <w:pPr>
              <w:spacing w:after="0" w:line="270" w:lineRule="atLeast"/>
              <w:ind w:left="720"/>
              <w:rPr>
                <w:rFonts w:ascii="Trebuchet MS" w:eastAsia="Times New Roman" w:hAnsi="Trebuchet MS" w:cs="Times New Roman"/>
                <w:color w:val="000000"/>
                <w:sz w:val="20"/>
                <w:szCs w:val="20"/>
                <w:lang w:eastAsia="fr-FR"/>
              </w:rPr>
            </w:pPr>
          </w:p>
          <w:p w:rsidR="006F6696" w:rsidRPr="006F6696" w:rsidRDefault="006F6696" w:rsidP="006F6696">
            <w:pPr>
              <w:numPr>
                <w:ilvl w:val="0"/>
                <w:numId w:val="2"/>
              </w:numPr>
              <w:spacing w:before="100" w:beforeAutospacing="1" w:after="100" w:afterAutospacing="1"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nutrition (fixation d’azote, décomposition de la cellulose, fourniture de d’éléments nutritifs essentiels ou de cofacteurs, ..). Chez l’Homme, la microflore colique fermente les substances fournies par l’alimentation, par exemple les fibres alimentaires qui ne peuvent être digérées dans l’intestin grêle. Elle modifie les protéines et les acides aminés, elle synthétise des vitamines du groupe B et K et a des effets sur les médicaments (le sulfamide succinylsulfathiazol est inactif, mais sous l’action de bactéries intestinales il est transformé en sulfathiazol, un antimicrobien actif),</w:t>
            </w:r>
          </w:p>
          <w:p w:rsidR="006F6696" w:rsidRPr="006F6696" w:rsidRDefault="006F6696" w:rsidP="006F6696">
            <w:pPr>
              <w:numPr>
                <w:ilvl w:val="0"/>
                <w:numId w:val="2"/>
              </w:numPr>
              <w:spacing w:before="100" w:beforeAutospacing="1" w:after="100" w:afterAutospacing="1"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reconnaissance (symbiose entre poissons et bactéries luminescentes, …),</w:t>
            </w:r>
          </w:p>
          <w:p w:rsidR="006F6696" w:rsidRPr="006F6696" w:rsidRDefault="006F6696" w:rsidP="006F6696">
            <w:pPr>
              <w:numPr>
                <w:ilvl w:val="0"/>
                <w:numId w:val="2"/>
              </w:numPr>
              <w:spacing w:before="100" w:beforeAutospacing="1" w:after="100" w:afterAutospacing="1"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protection, ce rôle est alors assuré directement par l’hôte qui héberge le ou les microorganismes ou indirectement en empêchant le développement de microorganismes [url=http://biocool.exprimetoi.net/javascript:glossaire('p/pathogene');]pathogène[/url]s ou parasites (peau, tractus intestinal , …).</w:t>
            </w:r>
          </w:p>
          <w:p w:rsidR="006F6696" w:rsidRPr="006F6696" w:rsidRDefault="006F6696" w:rsidP="006F6696">
            <w:pPr>
              <w:spacing w:after="24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b/>
                <w:bCs/>
                <w:color w:val="000000"/>
                <w:sz w:val="20"/>
                <w:szCs w:val="20"/>
                <w:lang w:eastAsia="fr-FR"/>
              </w:rPr>
              <w:br/>
            </w:r>
            <w:r w:rsidRPr="006F6696">
              <w:rPr>
                <w:rFonts w:ascii="Trebuchet MS" w:eastAsia="Times New Roman" w:hAnsi="Trebuchet MS" w:cs="Times New Roman"/>
                <w:b/>
                <w:bCs/>
                <w:color w:val="000000"/>
                <w:sz w:val="20"/>
                <w:lang w:eastAsia="fr-FR"/>
              </w:rPr>
              <w:t>Les microorganismes sont utiles </w:t>
            </w:r>
            <w:r w:rsidRPr="006F6696">
              <w:rPr>
                <w:rFonts w:ascii="Trebuchet MS" w:eastAsia="Times New Roman" w:hAnsi="Trebuchet MS" w:cs="Times New Roman"/>
                <w:color w:val="000000"/>
                <w:sz w:val="20"/>
                <w:szCs w:val="20"/>
                <w:lang w:eastAsia="fr-FR"/>
              </w:rPr>
              <w:br/>
            </w:r>
          </w:p>
          <w:p w:rsidR="006F6696" w:rsidRPr="006F6696" w:rsidRDefault="006F6696" w:rsidP="006F6696">
            <w:pPr>
              <w:spacing w:after="0" w:line="270" w:lineRule="atLeast"/>
              <w:ind w:left="720"/>
              <w:rPr>
                <w:rFonts w:ascii="Trebuchet MS" w:eastAsia="Times New Roman" w:hAnsi="Trebuchet MS" w:cs="Times New Roman"/>
                <w:color w:val="000000"/>
                <w:sz w:val="20"/>
                <w:szCs w:val="20"/>
                <w:lang w:eastAsia="fr-FR"/>
              </w:rPr>
            </w:pPr>
          </w:p>
          <w:p w:rsidR="006F6696" w:rsidRPr="006F6696" w:rsidRDefault="006F6696" w:rsidP="006F6696">
            <w:pPr>
              <w:numPr>
                <w:ilvl w:val="0"/>
                <w:numId w:val="3"/>
              </w:numPr>
              <w:spacing w:before="100" w:beforeAutospacing="1" w:after="100" w:afterAutospacing="1"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lastRenderedPageBreak/>
              <w:t>dans la domaine de l’alimentation</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t>&lt;TABLE cellSpacing=1 cellPadding=1 width="100%" summary="" border=0&gt;</w:t>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t>&lt;TR&gt;</w:t>
            </w:r>
            <w:r w:rsidRPr="006F6696">
              <w:rPr>
                <w:rFonts w:ascii="Trebuchet MS" w:eastAsia="Times New Roman" w:hAnsi="Trebuchet MS" w:cs="Times New Roman"/>
                <w:color w:val="000000"/>
                <w:sz w:val="20"/>
                <w:szCs w:val="20"/>
                <w:lang w:eastAsia="fr-FR"/>
              </w:rPr>
              <w:br/>
              <w:t>&lt;td&gt;</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Les microorganismes ont un impact important en tant que ferments puisqu’ils participent à l’élaboration de nombreux produits fermentés tels que les produits laitiers, les produits carnés, les boissons comme le cidre, le vin, le champagne ou la bière, les produits de panification et autres. A cela s’ajoute une dimension historique puisque la fermentation constitue depuis la nuit des temps un mode de conservation empirique des aliments.</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Composition présentant la diversité des produits entrant dans l'alimentation humaine.</w:t>
            </w:r>
            <w:r w:rsidRPr="006F6696">
              <w:rPr>
                <w:rFonts w:ascii="Trebuchet MS" w:eastAsia="Times New Roman" w:hAnsi="Trebuchet MS" w:cs="Times New Roman"/>
                <w:color w:val="000000"/>
                <w:sz w:val="20"/>
                <w:szCs w:val="20"/>
                <w:lang w:eastAsia="fr-FR"/>
              </w:rPr>
              <w:br/>
              <w:t>© Inra, J. Weber</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t>&lt;/TD&gt;</w:t>
            </w:r>
            <w:r w:rsidRPr="006F6696">
              <w:rPr>
                <w:rFonts w:ascii="Trebuchet MS" w:eastAsia="Times New Roman" w:hAnsi="Trebuchet MS" w:cs="Times New Roman"/>
                <w:color w:val="000000"/>
                <w:sz w:val="20"/>
                <w:szCs w:val="20"/>
                <w:lang w:eastAsia="fr-FR"/>
              </w:rPr>
              <w:br/>
              <w:t>&lt;td&gt;</w:t>
            </w:r>
            <w:r>
              <w:rPr>
                <w:rFonts w:ascii="Trebuchet MS" w:eastAsia="Times New Roman" w:hAnsi="Trebuchet MS" w:cs="Times New Roman"/>
                <w:noProof/>
                <w:color w:val="000000"/>
                <w:sz w:val="20"/>
                <w:szCs w:val="20"/>
                <w:lang w:eastAsia="fr-FR"/>
              </w:rPr>
              <w:drawing>
                <wp:inline distT="0" distB="0" distL="0" distR="0">
                  <wp:extent cx="1428750" cy="1428750"/>
                  <wp:effectExtent l="19050" t="0" r="0" b="0"/>
                  <wp:docPr id="1" name="Image 1" descr="http://www.inra.fr/var/plain/storage/htmlarea/3865/PCD0021_IMG0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inra.fr/var/plain/storage/htmlarea/3865/PCD0021_IMG0058.jpg"/>
                          <pic:cNvPicPr>
                            <a:picLocks noChangeAspect="1" noChangeArrowheads="1"/>
                          </pic:cNvPicPr>
                        </pic:nvPicPr>
                        <pic:blipFill>
                          <a:blip r:embed="rId5"/>
                          <a:srcRect/>
                          <a:stretch>
                            <a:fillRect/>
                          </a:stretch>
                        </pic:blipFill>
                        <pic:spPr bwMode="auto">
                          <a:xfrm>
                            <a:off x="0" y="0"/>
                            <a:ext cx="1428750" cy="1428750"/>
                          </a:xfrm>
                          <a:prstGeom prst="rect">
                            <a:avLst/>
                          </a:prstGeom>
                          <a:noFill/>
                          <a:ln w="9525">
                            <a:noFill/>
                            <a:miter lim="800000"/>
                            <a:headEnd/>
                            <a:tailEnd/>
                          </a:ln>
                        </pic:spPr>
                      </pic:pic>
                    </a:graphicData>
                  </a:graphic>
                </wp:inline>
              </w:drawing>
            </w:r>
            <w:r w:rsidRPr="006F6696">
              <w:rPr>
                <w:rFonts w:ascii="Trebuchet MS" w:eastAsia="Times New Roman" w:hAnsi="Trebuchet MS" w:cs="Times New Roman"/>
                <w:color w:val="000000"/>
                <w:sz w:val="20"/>
                <w:szCs w:val="20"/>
                <w:lang w:eastAsia="fr-FR"/>
              </w:rPr>
              <w:t>&lt;/TD&gt;&lt;/TR&gt;&lt;/TABLE&gt;</w:t>
            </w:r>
          </w:p>
          <w:p w:rsidR="006F6696" w:rsidRPr="006F6696" w:rsidRDefault="006F6696" w:rsidP="006F6696">
            <w:pPr>
              <w:spacing w:after="0" w:line="270" w:lineRule="atLeast"/>
              <w:ind w:left="720"/>
              <w:rPr>
                <w:rFonts w:ascii="Trebuchet MS" w:eastAsia="Times New Roman" w:hAnsi="Trebuchet MS" w:cs="Times New Roman"/>
                <w:color w:val="000000"/>
                <w:sz w:val="20"/>
                <w:szCs w:val="20"/>
                <w:lang w:eastAsia="fr-FR"/>
              </w:rPr>
            </w:pPr>
          </w:p>
          <w:p w:rsidR="006F6696" w:rsidRPr="006F6696" w:rsidRDefault="006F6696" w:rsidP="006F6696">
            <w:pPr>
              <w:numPr>
                <w:ilvl w:val="0"/>
                <w:numId w:val="4"/>
              </w:numPr>
              <w:spacing w:before="100" w:beforeAutospacing="1" w:after="100" w:afterAutospacing="1"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dans le domaine de l’agriculture et de l’agronomie</w:t>
            </w:r>
          </w:p>
          <w:p w:rsidR="006F6696" w:rsidRPr="006F6696" w:rsidRDefault="006F6696" w:rsidP="006F6696">
            <w:pPr>
              <w:spacing w:before="100" w:beforeAutospacing="1" w:after="100" w:afterAutospacing="1" w:line="270" w:lineRule="atLeast"/>
              <w:ind w:left="720"/>
              <w:rPr>
                <w:rFonts w:ascii="Trebuchet MS" w:eastAsia="Times New Roman" w:hAnsi="Trebuchet MS" w:cs="Times New Roman"/>
                <w:color w:val="000000"/>
                <w:sz w:val="20"/>
                <w:szCs w:val="20"/>
                <w:lang w:eastAsia="fr-FR"/>
              </w:rPr>
            </w:pP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Ils sont utilisés comme pesticides.</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t>&lt;TABLE cellSpacing=1 cellPadding=1 width="100%" summary="" border=0&gt;</w:t>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t>&lt;TR&gt;</w:t>
            </w:r>
            <w:r w:rsidRPr="006F6696">
              <w:rPr>
                <w:rFonts w:ascii="Trebuchet MS" w:eastAsia="Times New Roman" w:hAnsi="Trebuchet MS" w:cs="Times New Roman"/>
                <w:color w:val="000000"/>
                <w:sz w:val="20"/>
                <w:szCs w:val="20"/>
                <w:lang w:eastAsia="fr-FR"/>
              </w:rPr>
              <w:br/>
              <w:t>&lt;td&gt;</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Les champignons appartenant par exemple au genre</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i/>
                <w:iCs/>
                <w:color w:val="000000"/>
                <w:sz w:val="20"/>
                <w:szCs w:val="20"/>
                <w:lang w:eastAsia="fr-FR"/>
              </w:rPr>
              <w:t>Beauveria</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color w:val="000000"/>
                <w:sz w:val="20"/>
                <w:szCs w:val="20"/>
                <w:lang w:eastAsia="fr-FR"/>
              </w:rPr>
              <w:t>et les bactéries telles que</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i/>
                <w:iCs/>
                <w:color w:val="000000"/>
                <w:sz w:val="20"/>
                <w:szCs w:val="20"/>
                <w:lang w:eastAsia="fr-FR"/>
              </w:rPr>
              <w:t>Photorhabdus luminescens</w:t>
            </w:r>
            <w:r w:rsidRPr="006F6696">
              <w:rPr>
                <w:rFonts w:ascii="Trebuchet MS" w:eastAsia="Times New Roman" w:hAnsi="Trebuchet MS" w:cs="Times New Roman"/>
                <w:color w:val="000000"/>
                <w:sz w:val="20"/>
                <w:szCs w:val="20"/>
                <w:lang w:eastAsia="fr-FR"/>
              </w:rPr>
              <w:t>, infectent les insectes par pénétration directe ou via un nématode dans le cas de</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i/>
                <w:iCs/>
                <w:color w:val="000000"/>
                <w:sz w:val="20"/>
                <w:szCs w:val="20"/>
                <w:lang w:eastAsia="fr-FR"/>
              </w:rPr>
              <w:t>P. luminescens</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color w:val="000000"/>
                <w:sz w:val="20"/>
                <w:szCs w:val="20"/>
                <w:lang w:eastAsia="fr-FR"/>
              </w:rPr>
              <w:t>et entraînent rapidement la mort de l’insecte.</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i/>
                <w:iCs/>
                <w:color w:val="000000"/>
                <w:sz w:val="20"/>
                <w:szCs w:val="20"/>
                <w:lang w:eastAsia="fr-FR"/>
              </w:rPr>
              <w:t>Schistocerca gregaria</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color w:val="000000"/>
                <w:sz w:val="20"/>
                <w:szCs w:val="20"/>
                <w:lang w:eastAsia="fr-FR"/>
              </w:rPr>
              <w:t>atteint par</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i/>
                <w:iCs/>
                <w:color w:val="000000"/>
                <w:sz w:val="20"/>
                <w:szCs w:val="20"/>
                <w:lang w:eastAsia="fr-FR"/>
              </w:rPr>
              <w:t>Beauveria densa</w:t>
            </w:r>
            <w:r w:rsidRPr="006F6696">
              <w:rPr>
                <w:rFonts w:ascii="Trebuchet MS" w:eastAsia="Times New Roman" w:hAnsi="Trebuchet MS" w:cs="Times New Roman"/>
                <w:color w:val="000000"/>
                <w:sz w:val="20"/>
                <w:szCs w:val="20"/>
                <w:lang w:eastAsia="fr-FR"/>
              </w:rPr>
              <w:t>. © Inra, J. Nioré</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t>&lt;/TD&gt;</w:t>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lastRenderedPageBreak/>
              <w:t>&lt;td&gt;</w:t>
            </w:r>
            <w:r>
              <w:rPr>
                <w:rFonts w:ascii="Trebuchet MS" w:eastAsia="Times New Roman" w:hAnsi="Trebuchet MS" w:cs="Times New Roman"/>
                <w:noProof/>
                <w:color w:val="000000"/>
                <w:sz w:val="20"/>
                <w:szCs w:val="20"/>
                <w:lang w:eastAsia="fr-FR"/>
              </w:rPr>
              <w:drawing>
                <wp:inline distT="0" distB="0" distL="0" distR="0">
                  <wp:extent cx="1428750" cy="971550"/>
                  <wp:effectExtent l="19050" t="0" r="0" b="0"/>
                  <wp:docPr id="2" name="Image 2" descr="http://www.inra.fr/var/plain/storage/htmlarea/3865/PCD9009_IMG0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inra.fr/var/plain/storage/htmlarea/3865/PCD9009_IMG0147.jpg"/>
                          <pic:cNvPicPr>
                            <a:picLocks noChangeAspect="1" noChangeArrowheads="1"/>
                          </pic:cNvPicPr>
                        </pic:nvPicPr>
                        <pic:blipFill>
                          <a:blip r:embed="rId6"/>
                          <a:srcRect/>
                          <a:stretch>
                            <a:fillRect/>
                          </a:stretch>
                        </pic:blipFill>
                        <pic:spPr bwMode="auto">
                          <a:xfrm>
                            <a:off x="0" y="0"/>
                            <a:ext cx="1428750" cy="971550"/>
                          </a:xfrm>
                          <a:prstGeom prst="rect">
                            <a:avLst/>
                          </a:prstGeom>
                          <a:noFill/>
                          <a:ln w="9525">
                            <a:noFill/>
                            <a:miter lim="800000"/>
                            <a:headEnd/>
                            <a:tailEnd/>
                          </a:ln>
                        </pic:spPr>
                      </pic:pic>
                    </a:graphicData>
                  </a:graphic>
                </wp:inline>
              </w:drawing>
            </w:r>
            <w:r w:rsidRPr="006F6696">
              <w:rPr>
                <w:rFonts w:ascii="Trebuchet MS" w:eastAsia="Times New Roman" w:hAnsi="Trebuchet MS" w:cs="Times New Roman"/>
                <w:color w:val="000000"/>
                <w:sz w:val="20"/>
                <w:szCs w:val="20"/>
                <w:lang w:eastAsia="fr-FR"/>
              </w:rPr>
              <w:t>&lt;/TD&gt;&lt;/TR&gt;</w:t>
            </w:r>
            <w:r w:rsidRPr="006F6696">
              <w:rPr>
                <w:rFonts w:ascii="Trebuchet MS" w:eastAsia="Times New Roman" w:hAnsi="Trebuchet MS" w:cs="Times New Roman"/>
                <w:color w:val="000000"/>
                <w:sz w:val="20"/>
                <w:szCs w:val="20"/>
                <w:lang w:eastAsia="fr-FR"/>
              </w:rPr>
              <w:br/>
              <w:t>&lt;TR&gt;</w:t>
            </w:r>
            <w:r w:rsidRPr="006F6696">
              <w:rPr>
                <w:rFonts w:ascii="Trebuchet MS" w:eastAsia="Times New Roman" w:hAnsi="Trebuchet MS" w:cs="Times New Roman"/>
                <w:color w:val="000000"/>
                <w:sz w:val="20"/>
                <w:szCs w:val="20"/>
                <w:lang w:eastAsia="fr-FR"/>
              </w:rPr>
              <w:br/>
              <w:t>&lt;td&gt;</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Les Baculovirus, responsables de polyédroses nucléaires, sont des virus pathogènes des Invertébrés dont l’emploi repose sur leur spécificité. Leur production de masse a été mise au point sous la forme de polyèdres contenant des virus infectieux pour le baculovirus de la noctuelle</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i/>
                <w:iCs/>
                <w:color w:val="000000"/>
                <w:sz w:val="20"/>
                <w:szCs w:val="20"/>
                <w:lang w:eastAsia="fr-FR"/>
              </w:rPr>
              <w:t>Mamestra brassicae</w:t>
            </w:r>
            <w:r w:rsidRPr="006F6696">
              <w:rPr>
                <w:rFonts w:ascii="Trebuchet MS" w:eastAsia="Times New Roman" w:hAnsi="Trebuchet MS" w:cs="Times New Roman"/>
                <w:color w:val="000000"/>
                <w:sz w:val="20"/>
                <w:szCs w:val="20"/>
                <w:lang w:eastAsia="fr-FR"/>
              </w:rPr>
              <w:t>.</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Chenille de</w:t>
            </w:r>
            <w:r w:rsidRPr="006F6696">
              <w:rPr>
                <w:rFonts w:ascii="Trebuchet MS" w:eastAsia="Times New Roman" w:hAnsi="Trebuchet MS" w:cs="Times New Roman"/>
                <w:i/>
                <w:iCs/>
                <w:color w:val="000000"/>
                <w:sz w:val="20"/>
                <w:lang w:eastAsia="fr-FR"/>
              </w:rPr>
              <w:t> </w:t>
            </w:r>
            <w:r w:rsidRPr="006F6696">
              <w:rPr>
                <w:rFonts w:ascii="Trebuchet MS" w:eastAsia="Times New Roman" w:hAnsi="Trebuchet MS" w:cs="Times New Roman"/>
                <w:i/>
                <w:iCs/>
                <w:color w:val="000000"/>
                <w:sz w:val="20"/>
                <w:szCs w:val="20"/>
                <w:lang w:eastAsia="fr-FR"/>
              </w:rPr>
              <w:t>Mamestra brassicae</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color w:val="000000"/>
                <w:sz w:val="20"/>
                <w:szCs w:val="20"/>
                <w:lang w:eastAsia="fr-FR"/>
              </w:rPr>
              <w:t>malade par le virus. © Inra, H. de Conchard</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t>&lt;/TD&gt;</w:t>
            </w:r>
            <w:r w:rsidRPr="006F6696">
              <w:rPr>
                <w:rFonts w:ascii="Trebuchet MS" w:eastAsia="Times New Roman" w:hAnsi="Trebuchet MS" w:cs="Times New Roman"/>
                <w:color w:val="000000"/>
                <w:sz w:val="20"/>
                <w:szCs w:val="20"/>
                <w:lang w:eastAsia="fr-FR"/>
              </w:rPr>
              <w:br/>
              <w:t>&lt;td&gt;</w:t>
            </w:r>
            <w:r>
              <w:rPr>
                <w:rFonts w:ascii="Trebuchet MS" w:eastAsia="Times New Roman" w:hAnsi="Trebuchet MS" w:cs="Times New Roman"/>
                <w:noProof/>
                <w:color w:val="000000"/>
                <w:sz w:val="20"/>
                <w:szCs w:val="20"/>
                <w:lang w:eastAsia="fr-FR"/>
              </w:rPr>
              <w:drawing>
                <wp:inline distT="0" distB="0" distL="0" distR="0">
                  <wp:extent cx="1428750" cy="942975"/>
                  <wp:effectExtent l="19050" t="0" r="0" b="0"/>
                  <wp:docPr id="3" name="Image 3" descr="http://www.inra.fr/var/plain/storage/htmlarea/3865/PCD9033_IMG0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inra.fr/var/plain/storage/htmlarea/3865/PCD9033_IMG0025.jpg"/>
                          <pic:cNvPicPr>
                            <a:picLocks noChangeAspect="1" noChangeArrowheads="1"/>
                          </pic:cNvPicPr>
                        </pic:nvPicPr>
                        <pic:blipFill>
                          <a:blip r:embed="rId7"/>
                          <a:srcRect/>
                          <a:stretch>
                            <a:fillRect/>
                          </a:stretch>
                        </pic:blipFill>
                        <pic:spPr bwMode="auto">
                          <a:xfrm>
                            <a:off x="0" y="0"/>
                            <a:ext cx="1428750" cy="942975"/>
                          </a:xfrm>
                          <a:prstGeom prst="rect">
                            <a:avLst/>
                          </a:prstGeom>
                          <a:noFill/>
                          <a:ln w="9525">
                            <a:noFill/>
                            <a:miter lim="800000"/>
                            <a:headEnd/>
                            <a:tailEnd/>
                          </a:ln>
                        </pic:spPr>
                      </pic:pic>
                    </a:graphicData>
                  </a:graphic>
                </wp:inline>
              </w:drawing>
            </w:r>
            <w:r w:rsidRPr="006F6696">
              <w:rPr>
                <w:rFonts w:ascii="Trebuchet MS" w:eastAsia="Times New Roman" w:hAnsi="Trebuchet MS" w:cs="Times New Roman"/>
                <w:color w:val="000000"/>
                <w:sz w:val="20"/>
                <w:szCs w:val="20"/>
                <w:lang w:eastAsia="fr-FR"/>
              </w:rPr>
              <w:t>&lt;/TD&gt;&lt;/TR&gt;&lt;/TABLE&gt;</w:t>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t>Ils sont utilisés dans des applications agronomiques telles que la résistance des plantes aux maladies.</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t>&lt;TABLE cellSpacing=1 cellPadding=1 width="100%" summary="" border=0&gt;</w:t>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t>&lt;TR&gt;</w:t>
            </w:r>
            <w:r w:rsidRPr="006F6696">
              <w:rPr>
                <w:rFonts w:ascii="Trebuchet MS" w:eastAsia="Times New Roman" w:hAnsi="Trebuchet MS" w:cs="Times New Roman"/>
                <w:color w:val="000000"/>
                <w:sz w:val="20"/>
                <w:szCs w:val="20"/>
                <w:lang w:eastAsia="fr-FR"/>
              </w:rPr>
              <w:br/>
              <w:t>&lt;td&gt;</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Le principal ravageur du maïs est, en France, la pyrale du maïs, le lépidoptère</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i/>
                <w:iCs/>
                <w:color w:val="000000"/>
                <w:sz w:val="20"/>
                <w:szCs w:val="20"/>
                <w:lang w:eastAsia="fr-FR"/>
              </w:rPr>
              <w:t>Ostrinia nubilalis</w:t>
            </w:r>
            <w:r w:rsidRPr="006F6696">
              <w:rPr>
                <w:rFonts w:ascii="Trebuchet MS" w:eastAsia="Times New Roman" w:hAnsi="Trebuchet MS" w:cs="Times New Roman"/>
                <w:color w:val="000000"/>
                <w:sz w:val="20"/>
                <w:szCs w:val="20"/>
                <w:lang w:eastAsia="fr-FR"/>
              </w:rPr>
              <w:t>.</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i/>
                <w:iCs/>
                <w:color w:val="000000"/>
                <w:sz w:val="20"/>
                <w:szCs w:val="20"/>
                <w:lang w:eastAsia="fr-FR"/>
              </w:rPr>
              <w:t>Bacillus thuringiensis</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color w:val="000000"/>
                <w:sz w:val="20"/>
                <w:szCs w:val="20"/>
                <w:lang w:eastAsia="fr-FR"/>
              </w:rPr>
              <w:t>ou Bt est une bactérie du sol qui produit une toxine insecticide. Un gène de Bt est introduit dans le maïs qui va fabriquer lui-même la toxine insecticide et devenir ainsi résistant à la pyrale. Ce procédé permet de réduire la pollution liée à l’agriculture en diminuant la quantité d’insecticides utilisés.</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Chenille de la pyrale sortant d'un grain d'un épi de maïs. © Inra, C. Buisson</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t>&lt;/TD&gt;</w:t>
            </w:r>
            <w:r w:rsidRPr="006F6696">
              <w:rPr>
                <w:rFonts w:ascii="Trebuchet MS" w:eastAsia="Times New Roman" w:hAnsi="Trebuchet MS" w:cs="Times New Roman"/>
                <w:color w:val="000000"/>
                <w:sz w:val="20"/>
                <w:szCs w:val="20"/>
                <w:lang w:eastAsia="fr-FR"/>
              </w:rPr>
              <w:br/>
              <w:t>&lt;td&gt;</w:t>
            </w:r>
            <w:r>
              <w:rPr>
                <w:rFonts w:ascii="Trebuchet MS" w:eastAsia="Times New Roman" w:hAnsi="Trebuchet MS" w:cs="Times New Roman"/>
                <w:noProof/>
                <w:color w:val="000000"/>
                <w:sz w:val="20"/>
                <w:szCs w:val="20"/>
                <w:lang w:eastAsia="fr-FR"/>
              </w:rPr>
              <w:drawing>
                <wp:inline distT="0" distB="0" distL="0" distR="0">
                  <wp:extent cx="1428750" cy="923925"/>
                  <wp:effectExtent l="19050" t="0" r="0" b="0"/>
                  <wp:docPr id="4" name="Image 4" descr="http://www.inra.fr/var/plain/storage/htmlarea/3865/PCD9008_IMG0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inra.fr/var/plain/storage/htmlarea/3865/PCD9008_IMG0077.jpg"/>
                          <pic:cNvPicPr>
                            <a:picLocks noChangeAspect="1" noChangeArrowheads="1"/>
                          </pic:cNvPicPr>
                        </pic:nvPicPr>
                        <pic:blipFill>
                          <a:blip r:embed="rId8"/>
                          <a:srcRect/>
                          <a:stretch>
                            <a:fillRect/>
                          </a:stretch>
                        </pic:blipFill>
                        <pic:spPr bwMode="auto">
                          <a:xfrm>
                            <a:off x="0" y="0"/>
                            <a:ext cx="1428750" cy="923925"/>
                          </a:xfrm>
                          <a:prstGeom prst="rect">
                            <a:avLst/>
                          </a:prstGeom>
                          <a:noFill/>
                          <a:ln w="9525">
                            <a:noFill/>
                            <a:miter lim="800000"/>
                            <a:headEnd/>
                            <a:tailEnd/>
                          </a:ln>
                        </pic:spPr>
                      </pic:pic>
                    </a:graphicData>
                  </a:graphic>
                </wp:inline>
              </w:drawing>
            </w:r>
            <w:r w:rsidRPr="006F6696">
              <w:rPr>
                <w:rFonts w:ascii="Trebuchet MS" w:eastAsia="Times New Roman" w:hAnsi="Trebuchet MS" w:cs="Times New Roman"/>
                <w:color w:val="000000"/>
                <w:sz w:val="20"/>
                <w:szCs w:val="20"/>
                <w:lang w:eastAsia="fr-FR"/>
              </w:rPr>
              <w:t>&lt;/TD&gt;&lt;/TR&gt;&lt;/TABLE&gt;</w:t>
            </w:r>
          </w:p>
          <w:p w:rsidR="006F6696" w:rsidRPr="006F6696" w:rsidRDefault="006F6696" w:rsidP="006F6696">
            <w:pPr>
              <w:spacing w:after="0" w:line="270" w:lineRule="atLeast"/>
              <w:ind w:left="720"/>
              <w:rPr>
                <w:rFonts w:ascii="Trebuchet MS" w:eastAsia="Times New Roman" w:hAnsi="Trebuchet MS" w:cs="Times New Roman"/>
                <w:color w:val="000000"/>
                <w:sz w:val="20"/>
                <w:szCs w:val="20"/>
                <w:lang w:eastAsia="fr-FR"/>
              </w:rPr>
            </w:pPr>
          </w:p>
          <w:p w:rsidR="006F6696" w:rsidRPr="006F6696" w:rsidRDefault="006F6696" w:rsidP="006F6696">
            <w:pPr>
              <w:numPr>
                <w:ilvl w:val="0"/>
                <w:numId w:val="5"/>
              </w:numPr>
              <w:spacing w:before="100" w:beforeAutospacing="1" w:after="100" w:afterAutospacing="1"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dans le domaine de la santé</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 xml:space="preserve">La diversité d’action des microorganismes dans le domaine de la santé s’y manifeste dans la fabrication d’antibiotiques (par exemple, pénicilline), de vitamines, d’hormones (insuline, hormone </w:t>
            </w:r>
            <w:r w:rsidRPr="006F6696">
              <w:rPr>
                <w:rFonts w:ascii="Trebuchet MS" w:eastAsia="Times New Roman" w:hAnsi="Trebuchet MS" w:cs="Times New Roman"/>
                <w:color w:val="000000"/>
                <w:sz w:val="20"/>
                <w:szCs w:val="20"/>
                <w:lang w:eastAsia="fr-FR"/>
              </w:rPr>
              <w:lastRenderedPageBreak/>
              <w:t>de croissance ...) et autres substances pharmacologiquement actives (immunosuppresseurs ...), la création de vaccins et les soins par thérapie génique.</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t>&lt;TABLE cellSpacing=1 cellPadding=1 width="100%" summary="" border=0&gt;</w:t>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t>&lt;TR&gt;</w:t>
            </w:r>
            <w:r w:rsidRPr="006F6696">
              <w:rPr>
                <w:rFonts w:ascii="Trebuchet MS" w:eastAsia="Times New Roman" w:hAnsi="Trebuchet MS" w:cs="Times New Roman"/>
                <w:color w:val="000000"/>
                <w:sz w:val="20"/>
                <w:szCs w:val="20"/>
                <w:lang w:eastAsia="fr-FR"/>
              </w:rPr>
              <w:br/>
              <w:t>&lt;td&gt;</w:t>
            </w:r>
          </w:p>
          <w:p w:rsidR="006F6696" w:rsidRPr="006F6696" w:rsidRDefault="006F6696" w:rsidP="006F6696">
            <w:pPr>
              <w:spacing w:after="0" w:line="270" w:lineRule="atLeast"/>
              <w:jc w:val="right"/>
              <w:rPr>
                <w:rFonts w:ascii="Trebuchet MS" w:eastAsia="Times New Roman" w:hAnsi="Trebuchet MS" w:cs="Times New Roman"/>
                <w:color w:val="000000"/>
                <w:sz w:val="20"/>
                <w:szCs w:val="20"/>
                <w:lang w:eastAsia="fr-FR"/>
              </w:rPr>
            </w:pPr>
            <w:r>
              <w:rPr>
                <w:rFonts w:ascii="Trebuchet MS" w:eastAsia="Times New Roman" w:hAnsi="Trebuchet MS" w:cs="Times New Roman"/>
                <w:noProof/>
                <w:color w:val="000000"/>
                <w:sz w:val="20"/>
                <w:szCs w:val="20"/>
                <w:lang w:eastAsia="fr-FR"/>
              </w:rPr>
              <w:drawing>
                <wp:inline distT="0" distB="0" distL="0" distR="0">
                  <wp:extent cx="1428750" cy="1076325"/>
                  <wp:effectExtent l="19050" t="0" r="0" b="0"/>
                  <wp:docPr id="5" name="Image 5" descr="http://www.inra.fr/var/plain/storage/htmlarea/3865/CarnetSan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inra.fr/var/plain/storage/htmlarea/3865/CarnetSante.jpg"/>
                          <pic:cNvPicPr>
                            <a:picLocks noChangeAspect="1" noChangeArrowheads="1"/>
                          </pic:cNvPicPr>
                        </pic:nvPicPr>
                        <pic:blipFill>
                          <a:blip r:embed="rId9"/>
                          <a:srcRect/>
                          <a:stretch>
                            <a:fillRect/>
                          </a:stretch>
                        </pic:blipFill>
                        <pic:spPr bwMode="auto">
                          <a:xfrm>
                            <a:off x="0" y="0"/>
                            <a:ext cx="1428750" cy="1076325"/>
                          </a:xfrm>
                          <a:prstGeom prst="rect">
                            <a:avLst/>
                          </a:prstGeom>
                          <a:noFill/>
                          <a:ln w="9525">
                            <a:noFill/>
                            <a:miter lim="800000"/>
                            <a:headEnd/>
                            <a:tailEnd/>
                          </a:ln>
                        </pic:spPr>
                      </pic:pic>
                    </a:graphicData>
                  </a:graphic>
                </wp:inline>
              </w:drawing>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t>&lt;/TD&gt;</w:t>
            </w:r>
            <w:r w:rsidRPr="006F6696">
              <w:rPr>
                <w:rFonts w:ascii="Trebuchet MS" w:eastAsia="Times New Roman" w:hAnsi="Trebuchet MS" w:cs="Times New Roman"/>
                <w:color w:val="000000"/>
                <w:sz w:val="20"/>
                <w:szCs w:val="20"/>
                <w:lang w:eastAsia="fr-FR"/>
              </w:rPr>
              <w:br/>
              <w:t>&lt;td&gt; &lt;/TD&gt;</w:t>
            </w:r>
            <w:r w:rsidRPr="006F6696">
              <w:rPr>
                <w:rFonts w:ascii="Trebuchet MS" w:eastAsia="Times New Roman" w:hAnsi="Trebuchet MS" w:cs="Times New Roman"/>
                <w:color w:val="000000"/>
                <w:sz w:val="20"/>
                <w:szCs w:val="20"/>
                <w:lang w:eastAsia="fr-FR"/>
              </w:rPr>
              <w:br/>
              <w:t>&lt;td&gt;</w:t>
            </w:r>
          </w:p>
          <w:p w:rsidR="006F6696" w:rsidRPr="006F6696" w:rsidRDefault="006F6696" w:rsidP="006F6696">
            <w:pPr>
              <w:spacing w:after="100" w:line="270" w:lineRule="atLeast"/>
              <w:jc w:val="center"/>
              <w:rPr>
                <w:rFonts w:ascii="Trebuchet MS" w:eastAsia="Times New Roman" w:hAnsi="Trebuchet MS" w:cs="Times New Roman"/>
                <w:color w:val="000000"/>
                <w:sz w:val="20"/>
                <w:szCs w:val="20"/>
                <w:lang w:eastAsia="fr-FR"/>
              </w:rPr>
            </w:pPr>
            <w:r>
              <w:rPr>
                <w:rFonts w:ascii="Trebuchet MS" w:eastAsia="Times New Roman" w:hAnsi="Trebuchet MS" w:cs="Times New Roman"/>
                <w:noProof/>
                <w:color w:val="000000"/>
                <w:sz w:val="20"/>
                <w:szCs w:val="20"/>
                <w:lang w:eastAsia="fr-FR"/>
              </w:rPr>
              <w:drawing>
                <wp:inline distT="0" distB="0" distL="0" distR="0">
                  <wp:extent cx="1428750" cy="981075"/>
                  <wp:effectExtent l="19050" t="0" r="0" b="0"/>
                  <wp:docPr id="6" name="Image 6" descr="http://www.inra.fr/var/plain/storage/htmlarea/3865/Vacc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inra.fr/var/plain/storage/htmlarea/3865/Vaccin.jpg"/>
                          <pic:cNvPicPr>
                            <a:picLocks noChangeAspect="1" noChangeArrowheads="1"/>
                          </pic:cNvPicPr>
                        </pic:nvPicPr>
                        <pic:blipFill>
                          <a:blip r:embed="rId10"/>
                          <a:srcRect/>
                          <a:stretch>
                            <a:fillRect/>
                          </a:stretch>
                        </pic:blipFill>
                        <pic:spPr bwMode="auto">
                          <a:xfrm>
                            <a:off x="0" y="0"/>
                            <a:ext cx="1428750" cy="981075"/>
                          </a:xfrm>
                          <a:prstGeom prst="rect">
                            <a:avLst/>
                          </a:prstGeom>
                          <a:noFill/>
                          <a:ln w="9525">
                            <a:noFill/>
                            <a:miter lim="800000"/>
                            <a:headEnd/>
                            <a:tailEnd/>
                          </a:ln>
                        </pic:spPr>
                      </pic:pic>
                    </a:graphicData>
                  </a:graphic>
                </wp:inline>
              </w:drawing>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t>&lt;/TD&gt;&lt;/TR&gt;</w:t>
            </w:r>
            <w:r w:rsidRPr="006F6696">
              <w:rPr>
                <w:rFonts w:ascii="Trebuchet MS" w:eastAsia="Times New Roman" w:hAnsi="Trebuchet MS" w:cs="Times New Roman"/>
                <w:color w:val="000000"/>
                <w:sz w:val="20"/>
                <w:szCs w:val="20"/>
                <w:lang w:eastAsia="fr-FR"/>
              </w:rPr>
              <w:br/>
              <w:t>&lt;TR&gt;</w:t>
            </w:r>
            <w:r w:rsidRPr="006F6696">
              <w:rPr>
                <w:rFonts w:ascii="Trebuchet MS" w:eastAsia="Times New Roman" w:hAnsi="Trebuchet MS" w:cs="Times New Roman"/>
                <w:color w:val="000000"/>
                <w:sz w:val="20"/>
                <w:szCs w:val="20"/>
                <w:lang w:eastAsia="fr-FR"/>
              </w:rPr>
              <w:br/>
              <w:t>&lt;td&gt;</w:t>
            </w:r>
          </w:p>
          <w:p w:rsidR="006F6696" w:rsidRPr="006F6696" w:rsidRDefault="006F6696" w:rsidP="006F6696">
            <w:pPr>
              <w:spacing w:after="100" w:line="270" w:lineRule="atLeast"/>
              <w:jc w:val="center"/>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Carnet de santé.</w:t>
            </w:r>
            <w:r w:rsidRPr="006F6696">
              <w:rPr>
                <w:rFonts w:ascii="Trebuchet MS" w:eastAsia="Times New Roman" w:hAnsi="Trebuchet MS" w:cs="Times New Roman"/>
                <w:color w:val="000000"/>
                <w:sz w:val="20"/>
                <w:szCs w:val="20"/>
                <w:lang w:eastAsia="fr-FR"/>
              </w:rPr>
              <w:br/>
              <w:t>© Inra, A.H. Cain</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t>&lt;/TD&gt;</w:t>
            </w:r>
            <w:r w:rsidRPr="006F6696">
              <w:rPr>
                <w:rFonts w:ascii="Trebuchet MS" w:eastAsia="Times New Roman" w:hAnsi="Trebuchet MS" w:cs="Times New Roman"/>
                <w:color w:val="000000"/>
                <w:sz w:val="20"/>
                <w:szCs w:val="20"/>
                <w:lang w:eastAsia="fr-FR"/>
              </w:rPr>
              <w:br/>
              <w:t>&lt;td&gt; &lt;/TD&gt;</w:t>
            </w:r>
            <w:r w:rsidRPr="006F6696">
              <w:rPr>
                <w:rFonts w:ascii="Trebuchet MS" w:eastAsia="Times New Roman" w:hAnsi="Trebuchet MS" w:cs="Times New Roman"/>
                <w:color w:val="000000"/>
                <w:sz w:val="20"/>
                <w:szCs w:val="20"/>
                <w:lang w:eastAsia="fr-FR"/>
              </w:rPr>
              <w:br/>
              <w:t>&lt;td&gt;</w:t>
            </w:r>
          </w:p>
          <w:p w:rsidR="006F6696" w:rsidRPr="006F6696" w:rsidRDefault="006F6696" w:rsidP="006F6696">
            <w:pPr>
              <w:spacing w:after="100" w:line="270" w:lineRule="atLeast"/>
              <w:jc w:val="center"/>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Hormone de croissance produite par génie génétique.</w:t>
            </w:r>
            <w:r w:rsidRPr="006F6696">
              <w:rPr>
                <w:rFonts w:ascii="Trebuchet MS" w:eastAsia="Times New Roman" w:hAnsi="Trebuchet MS" w:cs="Times New Roman"/>
                <w:color w:val="000000"/>
                <w:sz w:val="20"/>
                <w:szCs w:val="20"/>
                <w:lang w:eastAsia="fr-FR"/>
              </w:rPr>
              <w:br/>
              <w:t>© Inra, A.H. Cain&lt;/TD&gt;&lt;/TR&gt;&lt;/TABLE&gt;</w:t>
            </w:r>
          </w:p>
          <w:p w:rsidR="006F6696" w:rsidRPr="006F6696" w:rsidRDefault="006F6696" w:rsidP="006F6696">
            <w:pPr>
              <w:spacing w:after="240" w:line="270" w:lineRule="atLeast"/>
              <w:rPr>
                <w:rFonts w:ascii="Trebuchet MS" w:eastAsia="Times New Roman" w:hAnsi="Trebuchet MS" w:cs="Times New Roman"/>
                <w:color w:val="000000"/>
                <w:sz w:val="20"/>
                <w:szCs w:val="20"/>
                <w:lang w:eastAsia="fr-FR"/>
              </w:rPr>
            </w:pPr>
          </w:p>
          <w:p w:rsidR="006F6696" w:rsidRPr="006F6696" w:rsidRDefault="006F6696" w:rsidP="006F6696">
            <w:pPr>
              <w:spacing w:after="0" w:line="270" w:lineRule="atLeast"/>
              <w:ind w:left="720"/>
              <w:rPr>
                <w:rFonts w:ascii="Trebuchet MS" w:eastAsia="Times New Roman" w:hAnsi="Trebuchet MS" w:cs="Times New Roman"/>
                <w:color w:val="000000"/>
                <w:sz w:val="20"/>
                <w:szCs w:val="20"/>
                <w:lang w:eastAsia="fr-FR"/>
              </w:rPr>
            </w:pPr>
          </w:p>
          <w:p w:rsidR="006F6696" w:rsidRPr="006F6696" w:rsidRDefault="006F6696" w:rsidP="006F6696">
            <w:pPr>
              <w:numPr>
                <w:ilvl w:val="0"/>
                <w:numId w:val="6"/>
              </w:numPr>
              <w:spacing w:before="100" w:beforeAutospacing="1" w:after="100" w:afterAutospacing="1"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dans le domaine de la chimie</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Une grande variété de microorganismes est utilisée pour la production industrielle d’acides organiques (acide citrique, fumarique …), alcools, acides aminés (acide glutamique …), polysaccharides, vitamines ou enzymes qui sont utilisés dans différents domaines tels que l’alimentation, la pharmacie, la cosmétologie, la santé …</w:t>
            </w:r>
          </w:p>
          <w:p w:rsidR="006F6696" w:rsidRPr="006F6696" w:rsidRDefault="006F6696" w:rsidP="006F6696">
            <w:pPr>
              <w:spacing w:after="240" w:line="270" w:lineRule="atLeast"/>
              <w:rPr>
                <w:rFonts w:ascii="Trebuchet MS" w:eastAsia="Times New Roman" w:hAnsi="Trebuchet MS" w:cs="Times New Roman"/>
                <w:color w:val="000000"/>
                <w:sz w:val="20"/>
                <w:szCs w:val="20"/>
                <w:lang w:eastAsia="fr-FR"/>
              </w:rPr>
            </w:pPr>
          </w:p>
          <w:p w:rsidR="006F6696" w:rsidRPr="006F6696" w:rsidRDefault="006F6696" w:rsidP="006F6696">
            <w:pPr>
              <w:spacing w:after="0" w:line="270" w:lineRule="atLeast"/>
              <w:ind w:left="720"/>
              <w:rPr>
                <w:rFonts w:ascii="Trebuchet MS" w:eastAsia="Times New Roman" w:hAnsi="Trebuchet MS" w:cs="Times New Roman"/>
                <w:color w:val="000000"/>
                <w:sz w:val="20"/>
                <w:szCs w:val="20"/>
                <w:lang w:eastAsia="fr-FR"/>
              </w:rPr>
            </w:pPr>
          </w:p>
          <w:p w:rsidR="006F6696" w:rsidRPr="006F6696" w:rsidRDefault="006F6696" w:rsidP="006F6696">
            <w:pPr>
              <w:numPr>
                <w:ilvl w:val="0"/>
                <w:numId w:val="7"/>
              </w:numPr>
              <w:spacing w:before="100" w:beforeAutospacing="1" w:after="100" w:afterAutospacing="1"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dans d’autres domaines</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t>&lt;TABLE cellSpacing=1 cellPadding=1 width="100%" summary="" border=0&gt;</w:t>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t>&lt;TR&gt;</w:t>
            </w:r>
            <w:r w:rsidRPr="006F6696">
              <w:rPr>
                <w:rFonts w:ascii="Trebuchet MS" w:eastAsia="Times New Roman" w:hAnsi="Trebuchet MS" w:cs="Times New Roman"/>
                <w:color w:val="000000"/>
                <w:sz w:val="20"/>
                <w:szCs w:val="20"/>
                <w:lang w:eastAsia="fr-FR"/>
              </w:rPr>
              <w:br/>
              <w:t>&lt;td&gt;</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Ils interviennent dans la préparation des fibres textiles d’origine végétale : au cours de sa récolte, le lin est arraché puis laissé sur le sol afin que le rouissage s'opère sous les actions conjuguées de la rosée, de la pluie, du vent, du soleil et de microorganismes. Au cours de cette étape, les champignons et les bactéries agissentsur les ciments qui relient les fibres entre elles et permettent de séparer les fibres de l'écorce et du bois.</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t>Rouissage du lin. © Inra, T. Doré&lt;/TD&gt;</w:t>
            </w:r>
            <w:r w:rsidRPr="006F6696">
              <w:rPr>
                <w:rFonts w:ascii="Trebuchet MS" w:eastAsia="Times New Roman" w:hAnsi="Trebuchet MS" w:cs="Times New Roman"/>
                <w:color w:val="000000"/>
                <w:sz w:val="20"/>
                <w:szCs w:val="20"/>
                <w:lang w:eastAsia="fr-FR"/>
              </w:rPr>
              <w:br/>
              <w:t>&lt;td&gt;</w:t>
            </w:r>
            <w:r>
              <w:rPr>
                <w:rFonts w:ascii="Trebuchet MS" w:eastAsia="Times New Roman" w:hAnsi="Trebuchet MS" w:cs="Times New Roman"/>
                <w:noProof/>
                <w:color w:val="000000"/>
                <w:sz w:val="20"/>
                <w:szCs w:val="20"/>
                <w:lang w:eastAsia="fr-FR"/>
              </w:rPr>
              <w:drawing>
                <wp:inline distT="0" distB="0" distL="0" distR="0">
                  <wp:extent cx="933450" cy="1428750"/>
                  <wp:effectExtent l="19050" t="0" r="0" b="0"/>
                  <wp:docPr id="7" name="Image 7" descr="http://www.inra.fr/var/plain/storage/htmlarea/3865/PCD8010_IMG0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inra.fr/var/plain/storage/htmlarea/3865/PCD8010_IMG0103.jpg"/>
                          <pic:cNvPicPr>
                            <a:picLocks noChangeAspect="1" noChangeArrowheads="1"/>
                          </pic:cNvPicPr>
                        </pic:nvPicPr>
                        <pic:blipFill>
                          <a:blip r:embed="rId11"/>
                          <a:srcRect/>
                          <a:stretch>
                            <a:fillRect/>
                          </a:stretch>
                        </pic:blipFill>
                        <pic:spPr bwMode="auto">
                          <a:xfrm>
                            <a:off x="0" y="0"/>
                            <a:ext cx="933450" cy="1428750"/>
                          </a:xfrm>
                          <a:prstGeom prst="rect">
                            <a:avLst/>
                          </a:prstGeom>
                          <a:noFill/>
                          <a:ln w="9525">
                            <a:noFill/>
                            <a:miter lim="800000"/>
                            <a:headEnd/>
                            <a:tailEnd/>
                          </a:ln>
                        </pic:spPr>
                      </pic:pic>
                    </a:graphicData>
                  </a:graphic>
                </wp:inline>
              </w:drawing>
            </w:r>
            <w:r w:rsidRPr="006F6696">
              <w:rPr>
                <w:rFonts w:ascii="Trebuchet MS" w:eastAsia="Times New Roman" w:hAnsi="Trebuchet MS" w:cs="Times New Roman"/>
                <w:color w:val="000000"/>
                <w:sz w:val="20"/>
                <w:szCs w:val="20"/>
                <w:lang w:eastAsia="fr-FR"/>
              </w:rPr>
              <w:t>&lt;/TD&gt;&lt;/TR&gt;&lt;/TABLE&gt;</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Ils interviennent pour traiter les eaux usées et dépolluer les sols et les eaux : la biodégradation des hydrocarbures peut être réalisée par des bactéries ou des champignons, on parle alors de biodépollution ou bioremédiation.</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Ils interviennent dans la séparation des métaux utiles du minerai, on parle de lixiviation biologique. Ce procédé est efficace pour récupérer les métaux présentant une valeur commerciale à partir des minerais pauvres et des minerais réfractaires pour lesquels le métal utile est dispersé et difficile à extraire par les méthodes classiques (extraction de l’uranium par</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i/>
                <w:iCs/>
                <w:color w:val="000000"/>
                <w:sz w:val="20"/>
                <w:szCs w:val="20"/>
                <w:lang w:eastAsia="fr-FR"/>
              </w:rPr>
              <w:t>Aspergillus ochraceus</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color w:val="000000"/>
                <w:sz w:val="20"/>
                <w:szCs w:val="20"/>
                <w:lang w:eastAsia="fr-FR"/>
              </w:rPr>
              <w:t>et</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i/>
                <w:iCs/>
                <w:color w:val="000000"/>
                <w:sz w:val="20"/>
                <w:szCs w:val="20"/>
                <w:lang w:eastAsia="fr-FR"/>
              </w:rPr>
              <w:t>Penicillium funiculosum</w:t>
            </w:r>
            <w:r w:rsidRPr="006F6696">
              <w:rPr>
                <w:rFonts w:ascii="Trebuchet MS" w:eastAsia="Times New Roman" w:hAnsi="Trebuchet MS" w:cs="Times New Roman"/>
                <w:color w:val="000000"/>
                <w:sz w:val="20"/>
                <w:szCs w:val="20"/>
                <w:lang w:eastAsia="fr-FR"/>
              </w:rPr>
              <w:t>, du titane par</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i/>
                <w:iCs/>
                <w:color w:val="000000"/>
                <w:sz w:val="20"/>
                <w:szCs w:val="20"/>
                <w:lang w:eastAsia="fr-FR"/>
              </w:rPr>
              <w:t>P. simplicissimum</w:t>
            </w:r>
            <w:r w:rsidRPr="006F6696">
              <w:rPr>
                <w:rFonts w:ascii="Trebuchet MS" w:eastAsia="Times New Roman" w:hAnsi="Trebuchet MS" w:cs="Times New Roman"/>
                <w:color w:val="000000"/>
                <w:sz w:val="20"/>
                <w:szCs w:val="20"/>
                <w:lang w:eastAsia="fr-FR"/>
              </w:rPr>
              <w:t>, du cuivre par</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i/>
                <w:iCs/>
                <w:color w:val="000000"/>
                <w:sz w:val="20"/>
                <w:szCs w:val="20"/>
                <w:lang w:eastAsia="fr-FR"/>
              </w:rPr>
              <w:t>A. niger</w:t>
            </w:r>
            <w:r w:rsidRPr="006F6696">
              <w:rPr>
                <w:rFonts w:ascii="Trebuchet MS" w:eastAsia="Times New Roman" w:hAnsi="Trebuchet MS" w:cs="Times New Roman"/>
                <w:color w:val="000000"/>
                <w:sz w:val="20"/>
                <w:szCs w:val="20"/>
                <w:lang w:eastAsia="fr-FR"/>
              </w:rPr>
              <w:t>, du chrome par</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i/>
                <w:iCs/>
                <w:color w:val="000000"/>
                <w:sz w:val="20"/>
                <w:szCs w:val="20"/>
                <w:lang w:eastAsia="fr-FR"/>
              </w:rPr>
              <w:t>P. lapidosum</w:t>
            </w:r>
            <w:r w:rsidRPr="006F6696">
              <w:rPr>
                <w:rFonts w:ascii="Trebuchet MS" w:eastAsia="Times New Roman" w:hAnsi="Trebuchet MS" w:cs="Times New Roman"/>
                <w:color w:val="000000"/>
                <w:sz w:val="20"/>
                <w:szCs w:val="20"/>
                <w:lang w:eastAsia="fr-FR"/>
              </w:rPr>
              <w:t>, du fer par</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i/>
                <w:iCs/>
                <w:color w:val="000000"/>
                <w:sz w:val="20"/>
                <w:szCs w:val="20"/>
                <w:lang w:eastAsia="fr-FR"/>
              </w:rPr>
              <w:t>Thiobacillus</w:t>
            </w:r>
            <w:r w:rsidRPr="006F6696">
              <w:rPr>
                <w:rFonts w:ascii="Trebuchet MS" w:eastAsia="Times New Roman" w:hAnsi="Trebuchet MS" w:cs="Times New Roman"/>
                <w:color w:val="000000"/>
                <w:sz w:val="20"/>
                <w:szCs w:val="20"/>
                <w:lang w:eastAsia="fr-FR"/>
              </w:rPr>
              <w:t>,</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i/>
                <w:iCs/>
                <w:color w:val="000000"/>
                <w:sz w:val="20"/>
                <w:szCs w:val="20"/>
                <w:lang w:eastAsia="fr-FR"/>
              </w:rPr>
              <w:t>Leptospirillum</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color w:val="000000"/>
                <w:sz w:val="20"/>
                <w:szCs w:val="20"/>
                <w:lang w:eastAsia="fr-FR"/>
              </w:rPr>
              <w:t>et</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i/>
                <w:iCs/>
                <w:color w:val="000000"/>
                <w:sz w:val="20"/>
                <w:szCs w:val="20"/>
                <w:lang w:eastAsia="fr-FR"/>
              </w:rPr>
              <w:t>Sulfolobus</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color w:val="000000"/>
                <w:sz w:val="20"/>
                <w:szCs w:val="20"/>
                <w:lang w:eastAsia="fr-FR"/>
              </w:rPr>
              <w:t>…).</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t>&lt;TABLE cellSpacing=1 cellPadding=1 width="100%" summary="" border=0&gt;</w:t>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t>&lt;TR&gt;</w:t>
            </w:r>
            <w:r w:rsidRPr="006F6696">
              <w:rPr>
                <w:rFonts w:ascii="Trebuchet MS" w:eastAsia="Times New Roman" w:hAnsi="Trebuchet MS" w:cs="Times New Roman"/>
                <w:color w:val="000000"/>
                <w:sz w:val="20"/>
                <w:szCs w:val="20"/>
                <w:lang w:eastAsia="fr-FR"/>
              </w:rPr>
              <w:br/>
              <w:t>&lt;td&gt;</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Ils permettent de fabriquer de la neige "de culture" : l’utilisation comme additif, d’une protéine cryogène extraite de</w:t>
            </w:r>
            <w:r w:rsidRPr="006F6696">
              <w:rPr>
                <w:rFonts w:ascii="Trebuchet MS" w:eastAsia="Times New Roman" w:hAnsi="Trebuchet MS" w:cs="Times New Roman"/>
                <w:i/>
                <w:iCs/>
                <w:color w:val="000000"/>
                <w:sz w:val="20"/>
                <w:szCs w:val="20"/>
                <w:lang w:eastAsia="fr-FR"/>
              </w:rPr>
              <w:t>Pseudomonas syringae</w:t>
            </w:r>
            <w:r w:rsidRPr="006F6696">
              <w:rPr>
                <w:rFonts w:ascii="Trebuchet MS" w:eastAsia="Times New Roman" w:hAnsi="Trebuchet MS" w:cs="Times New Roman"/>
                <w:color w:val="000000"/>
                <w:sz w:val="20"/>
                <w:szCs w:val="20"/>
                <w:lang w:eastAsia="fr-FR"/>
              </w:rPr>
              <w:t>, accélère la cristallisation de l’eau qui commence alors 2 à 3°C au-dessus de la température habituelle.</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Haute vallée de l'Ubaye. © Inra, J.M. Bossennec</w:t>
            </w:r>
          </w:p>
          <w:p w:rsidR="006F6696" w:rsidRPr="006F6696" w:rsidRDefault="006F6696" w:rsidP="006F6696">
            <w:pPr>
              <w:spacing w:after="24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lastRenderedPageBreak/>
              <w:br/>
              <w:t>&lt;/TD&gt;</w:t>
            </w:r>
            <w:r w:rsidRPr="006F6696">
              <w:rPr>
                <w:rFonts w:ascii="Trebuchet MS" w:eastAsia="Times New Roman" w:hAnsi="Trebuchet MS" w:cs="Times New Roman"/>
                <w:color w:val="000000"/>
                <w:sz w:val="20"/>
                <w:szCs w:val="20"/>
                <w:lang w:eastAsia="fr-FR"/>
              </w:rPr>
              <w:br/>
              <w:t>&lt;td&gt;</w:t>
            </w:r>
            <w:r>
              <w:rPr>
                <w:rFonts w:ascii="Trebuchet MS" w:eastAsia="Times New Roman" w:hAnsi="Trebuchet MS" w:cs="Times New Roman"/>
                <w:noProof/>
                <w:color w:val="000000"/>
                <w:sz w:val="20"/>
                <w:szCs w:val="20"/>
                <w:lang w:eastAsia="fr-FR"/>
              </w:rPr>
              <w:drawing>
                <wp:inline distT="0" distB="0" distL="0" distR="0">
                  <wp:extent cx="1428750" cy="942975"/>
                  <wp:effectExtent l="19050" t="0" r="0" b="0"/>
                  <wp:docPr id="8" name="Image 8" descr="http://www.inra.fr/var/plain/storage/htmlarea/3865/PCD0018_IMG0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inra.fr/var/plain/storage/htmlarea/3865/PCD0018_IMG0084.jpg"/>
                          <pic:cNvPicPr>
                            <a:picLocks noChangeAspect="1" noChangeArrowheads="1"/>
                          </pic:cNvPicPr>
                        </pic:nvPicPr>
                        <pic:blipFill>
                          <a:blip r:embed="rId12"/>
                          <a:srcRect/>
                          <a:stretch>
                            <a:fillRect/>
                          </a:stretch>
                        </pic:blipFill>
                        <pic:spPr bwMode="auto">
                          <a:xfrm>
                            <a:off x="0" y="0"/>
                            <a:ext cx="1428750" cy="942975"/>
                          </a:xfrm>
                          <a:prstGeom prst="rect">
                            <a:avLst/>
                          </a:prstGeom>
                          <a:noFill/>
                          <a:ln w="9525">
                            <a:noFill/>
                            <a:miter lim="800000"/>
                            <a:headEnd/>
                            <a:tailEnd/>
                          </a:ln>
                        </pic:spPr>
                      </pic:pic>
                    </a:graphicData>
                  </a:graphic>
                </wp:inline>
              </w:drawing>
            </w:r>
            <w:r w:rsidRPr="006F6696">
              <w:rPr>
                <w:rFonts w:ascii="Trebuchet MS" w:eastAsia="Times New Roman" w:hAnsi="Trebuchet MS" w:cs="Times New Roman"/>
                <w:color w:val="000000"/>
                <w:sz w:val="20"/>
                <w:szCs w:val="20"/>
                <w:lang w:eastAsia="fr-FR"/>
              </w:rPr>
              <w:t>&lt;/TD&gt;&lt;/TR&gt;&lt;/TABLE&gt;</w:t>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b/>
                <w:bCs/>
                <w:color w:val="000000"/>
                <w:sz w:val="20"/>
                <w:lang w:eastAsia="fr-FR"/>
              </w:rPr>
              <w:t>Les microorganismes peuvent être néfastes </w:t>
            </w:r>
            <w:r w:rsidRPr="006F6696">
              <w:rPr>
                <w:rFonts w:ascii="Trebuchet MS" w:eastAsia="Times New Roman" w:hAnsi="Trebuchet MS" w:cs="Times New Roman"/>
                <w:color w:val="000000"/>
                <w:sz w:val="20"/>
                <w:szCs w:val="20"/>
                <w:lang w:eastAsia="fr-FR"/>
              </w:rPr>
              <w:br/>
            </w:r>
          </w:p>
          <w:p w:rsidR="006F6696" w:rsidRPr="006F6696" w:rsidRDefault="006F6696" w:rsidP="006F6696">
            <w:pPr>
              <w:spacing w:after="0" w:line="270" w:lineRule="atLeast"/>
              <w:ind w:left="720"/>
              <w:rPr>
                <w:rFonts w:ascii="Trebuchet MS" w:eastAsia="Times New Roman" w:hAnsi="Trebuchet MS" w:cs="Times New Roman"/>
                <w:color w:val="000000"/>
                <w:sz w:val="20"/>
                <w:szCs w:val="20"/>
                <w:lang w:eastAsia="fr-FR"/>
              </w:rPr>
            </w:pPr>
          </w:p>
          <w:p w:rsidR="006F6696" w:rsidRPr="006F6696" w:rsidRDefault="006F6696" w:rsidP="006F6696">
            <w:pPr>
              <w:numPr>
                <w:ilvl w:val="0"/>
                <w:numId w:val="8"/>
              </w:numPr>
              <w:spacing w:before="100" w:beforeAutospacing="1" w:after="100" w:afterAutospacing="1"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ils dégradent les aliments et altèrent leur aspect, leur odeur, leur goût et leur couleur.</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t>&lt;TABLE cellSpacing=1 cellPadding=1 width="100%" summary="" border=0&gt;</w:t>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t>&lt;TR&gt;</w:t>
            </w:r>
            <w:r w:rsidRPr="006F6696">
              <w:rPr>
                <w:rFonts w:ascii="Trebuchet MS" w:eastAsia="Times New Roman" w:hAnsi="Trebuchet MS" w:cs="Times New Roman"/>
                <w:color w:val="000000"/>
                <w:sz w:val="20"/>
                <w:szCs w:val="20"/>
                <w:lang w:eastAsia="fr-FR"/>
              </w:rPr>
              <w:br/>
              <w:t>&lt;td&gt;</w:t>
            </w:r>
          </w:p>
          <w:p w:rsidR="006F6696" w:rsidRPr="006F6696" w:rsidRDefault="006F6696" w:rsidP="006F6696">
            <w:pPr>
              <w:spacing w:after="100" w:line="270" w:lineRule="atLeast"/>
              <w:jc w:val="center"/>
              <w:rPr>
                <w:rFonts w:ascii="Trebuchet MS" w:eastAsia="Times New Roman" w:hAnsi="Trebuchet MS" w:cs="Times New Roman"/>
                <w:color w:val="000000"/>
                <w:sz w:val="20"/>
                <w:szCs w:val="20"/>
                <w:lang w:eastAsia="fr-FR"/>
              </w:rPr>
            </w:pPr>
            <w:r>
              <w:rPr>
                <w:rFonts w:ascii="Trebuchet MS" w:eastAsia="Times New Roman" w:hAnsi="Trebuchet MS" w:cs="Times New Roman"/>
                <w:noProof/>
                <w:color w:val="000000"/>
                <w:sz w:val="20"/>
                <w:szCs w:val="20"/>
                <w:lang w:eastAsia="fr-FR"/>
              </w:rPr>
              <w:drawing>
                <wp:inline distT="0" distB="0" distL="0" distR="0">
                  <wp:extent cx="1381125" cy="1038225"/>
                  <wp:effectExtent l="19050" t="0" r="9525" b="0"/>
                  <wp:docPr id="9" name="Image 9" descr="http://www.inra.fr/var/plain/storage/htmlarea/3865/Oran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inra.fr/var/plain/storage/htmlarea/3865/Orange.jpg"/>
                          <pic:cNvPicPr>
                            <a:picLocks noChangeAspect="1" noChangeArrowheads="1"/>
                          </pic:cNvPicPr>
                        </pic:nvPicPr>
                        <pic:blipFill>
                          <a:blip r:embed="rId13"/>
                          <a:srcRect/>
                          <a:stretch>
                            <a:fillRect/>
                          </a:stretch>
                        </pic:blipFill>
                        <pic:spPr bwMode="auto">
                          <a:xfrm>
                            <a:off x="0" y="0"/>
                            <a:ext cx="1381125" cy="1038225"/>
                          </a:xfrm>
                          <a:prstGeom prst="rect">
                            <a:avLst/>
                          </a:prstGeom>
                          <a:noFill/>
                          <a:ln w="9525">
                            <a:noFill/>
                            <a:miter lim="800000"/>
                            <a:headEnd/>
                            <a:tailEnd/>
                          </a:ln>
                        </pic:spPr>
                      </pic:pic>
                    </a:graphicData>
                  </a:graphic>
                </wp:inline>
              </w:drawing>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t>&lt;/TD&gt;</w:t>
            </w:r>
            <w:r w:rsidRPr="006F6696">
              <w:rPr>
                <w:rFonts w:ascii="Trebuchet MS" w:eastAsia="Times New Roman" w:hAnsi="Trebuchet MS" w:cs="Times New Roman"/>
                <w:color w:val="000000"/>
                <w:sz w:val="20"/>
                <w:szCs w:val="20"/>
                <w:lang w:eastAsia="fr-FR"/>
              </w:rPr>
              <w:br/>
              <w:t>&lt;td&gt;</w:t>
            </w:r>
          </w:p>
          <w:p w:rsidR="006F6696" w:rsidRPr="006F6696" w:rsidRDefault="006F6696" w:rsidP="006F6696">
            <w:pPr>
              <w:spacing w:after="100" w:line="270" w:lineRule="atLeast"/>
              <w:jc w:val="center"/>
              <w:rPr>
                <w:rFonts w:ascii="Trebuchet MS" w:eastAsia="Times New Roman" w:hAnsi="Trebuchet MS" w:cs="Times New Roman"/>
                <w:color w:val="000000"/>
                <w:sz w:val="20"/>
                <w:szCs w:val="20"/>
                <w:lang w:eastAsia="fr-FR"/>
              </w:rPr>
            </w:pPr>
            <w:r>
              <w:rPr>
                <w:rFonts w:ascii="Trebuchet MS" w:eastAsia="Times New Roman" w:hAnsi="Trebuchet MS" w:cs="Times New Roman"/>
                <w:noProof/>
                <w:color w:val="000000"/>
                <w:sz w:val="20"/>
                <w:szCs w:val="20"/>
                <w:lang w:eastAsia="fr-FR"/>
              </w:rPr>
              <w:drawing>
                <wp:inline distT="0" distB="0" distL="0" distR="0">
                  <wp:extent cx="1381125" cy="1038225"/>
                  <wp:effectExtent l="19050" t="0" r="9525" b="0"/>
                  <wp:docPr id="10" name="Image 10" descr="http://www.inra.fr/var/plain/storage/htmlarea/3865/Litch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inra.fr/var/plain/storage/htmlarea/3865/Litchis.jpg"/>
                          <pic:cNvPicPr>
                            <a:picLocks noChangeAspect="1" noChangeArrowheads="1"/>
                          </pic:cNvPicPr>
                        </pic:nvPicPr>
                        <pic:blipFill>
                          <a:blip r:embed="rId14"/>
                          <a:srcRect/>
                          <a:stretch>
                            <a:fillRect/>
                          </a:stretch>
                        </pic:blipFill>
                        <pic:spPr bwMode="auto">
                          <a:xfrm>
                            <a:off x="0" y="0"/>
                            <a:ext cx="1381125" cy="1038225"/>
                          </a:xfrm>
                          <a:prstGeom prst="rect">
                            <a:avLst/>
                          </a:prstGeom>
                          <a:noFill/>
                          <a:ln w="9525">
                            <a:noFill/>
                            <a:miter lim="800000"/>
                            <a:headEnd/>
                            <a:tailEnd/>
                          </a:ln>
                        </pic:spPr>
                      </pic:pic>
                    </a:graphicData>
                  </a:graphic>
                </wp:inline>
              </w:drawing>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t>&lt;/TD&gt;</w:t>
            </w:r>
            <w:r w:rsidRPr="006F6696">
              <w:rPr>
                <w:rFonts w:ascii="Trebuchet MS" w:eastAsia="Times New Roman" w:hAnsi="Trebuchet MS" w:cs="Times New Roman"/>
                <w:color w:val="000000"/>
                <w:sz w:val="20"/>
                <w:szCs w:val="20"/>
                <w:lang w:eastAsia="fr-FR"/>
              </w:rPr>
              <w:br/>
              <w:t>&lt;td&gt;</w:t>
            </w:r>
          </w:p>
          <w:p w:rsidR="006F6696" w:rsidRPr="006F6696" w:rsidRDefault="006F6696" w:rsidP="006F6696">
            <w:pPr>
              <w:spacing w:after="100" w:line="270" w:lineRule="atLeast"/>
              <w:jc w:val="center"/>
              <w:rPr>
                <w:rFonts w:ascii="Trebuchet MS" w:eastAsia="Times New Roman" w:hAnsi="Trebuchet MS" w:cs="Times New Roman"/>
                <w:color w:val="000000"/>
                <w:sz w:val="20"/>
                <w:szCs w:val="20"/>
                <w:lang w:eastAsia="fr-FR"/>
              </w:rPr>
            </w:pPr>
            <w:r>
              <w:rPr>
                <w:rFonts w:ascii="Trebuchet MS" w:eastAsia="Times New Roman" w:hAnsi="Trebuchet MS" w:cs="Times New Roman"/>
                <w:noProof/>
                <w:color w:val="000000"/>
                <w:sz w:val="20"/>
                <w:szCs w:val="20"/>
                <w:lang w:eastAsia="fr-FR"/>
              </w:rPr>
              <w:drawing>
                <wp:inline distT="0" distB="0" distL="0" distR="0">
                  <wp:extent cx="1381125" cy="1038225"/>
                  <wp:effectExtent l="19050" t="0" r="9525" b="0"/>
                  <wp:docPr id="11" name="Image 11" descr="http://www.inra.fr/var/plain/storage/htmlarea/3865/Co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inra.fr/var/plain/storage/htmlarea/3865/Coing.jpg"/>
                          <pic:cNvPicPr>
                            <a:picLocks noChangeAspect="1" noChangeArrowheads="1"/>
                          </pic:cNvPicPr>
                        </pic:nvPicPr>
                        <pic:blipFill>
                          <a:blip r:embed="rId15"/>
                          <a:srcRect/>
                          <a:stretch>
                            <a:fillRect/>
                          </a:stretch>
                        </pic:blipFill>
                        <pic:spPr bwMode="auto">
                          <a:xfrm>
                            <a:off x="0" y="0"/>
                            <a:ext cx="1381125" cy="1038225"/>
                          </a:xfrm>
                          <a:prstGeom prst="rect">
                            <a:avLst/>
                          </a:prstGeom>
                          <a:noFill/>
                          <a:ln w="9525">
                            <a:noFill/>
                            <a:miter lim="800000"/>
                            <a:headEnd/>
                            <a:tailEnd/>
                          </a:ln>
                        </pic:spPr>
                      </pic:pic>
                    </a:graphicData>
                  </a:graphic>
                </wp:inline>
              </w:drawing>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t>&lt;/TD&gt;&lt;/TR&gt;</w:t>
            </w:r>
            <w:r w:rsidRPr="006F6696">
              <w:rPr>
                <w:rFonts w:ascii="Trebuchet MS" w:eastAsia="Times New Roman" w:hAnsi="Trebuchet MS" w:cs="Times New Roman"/>
                <w:color w:val="000000"/>
                <w:sz w:val="20"/>
                <w:szCs w:val="20"/>
                <w:lang w:eastAsia="fr-FR"/>
              </w:rPr>
              <w:br/>
              <w:t>&lt;TR&gt;</w:t>
            </w:r>
            <w:r w:rsidRPr="006F6696">
              <w:rPr>
                <w:rFonts w:ascii="Trebuchet MS" w:eastAsia="Times New Roman" w:hAnsi="Trebuchet MS" w:cs="Times New Roman"/>
                <w:color w:val="000000"/>
                <w:sz w:val="20"/>
                <w:szCs w:val="20"/>
                <w:lang w:eastAsia="fr-FR"/>
              </w:rPr>
              <w:br/>
              <w:t>&lt;td colSpan=3&gt;</w:t>
            </w:r>
          </w:p>
          <w:p w:rsidR="006F6696" w:rsidRPr="006F6696" w:rsidRDefault="006F6696" w:rsidP="006F6696">
            <w:pPr>
              <w:spacing w:after="100" w:line="270" w:lineRule="atLeast"/>
              <w:jc w:val="center"/>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Orange, lichis et coing altérés par le développement de microorganismes.</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color w:val="000000"/>
                <w:sz w:val="20"/>
                <w:szCs w:val="20"/>
                <w:lang w:eastAsia="fr-FR"/>
              </w:rPr>
              <w:br/>
              <w:t>© Inra, A.H. Cain&lt;/TD&gt;&lt;/TR&gt;&lt;/TABLE&gt;</w:t>
            </w:r>
          </w:p>
          <w:p w:rsidR="006F6696" w:rsidRPr="006F6696" w:rsidRDefault="006F6696" w:rsidP="006F6696">
            <w:pPr>
              <w:spacing w:after="240" w:line="270" w:lineRule="atLeast"/>
              <w:rPr>
                <w:rFonts w:ascii="Trebuchet MS" w:eastAsia="Times New Roman" w:hAnsi="Trebuchet MS" w:cs="Times New Roman"/>
                <w:color w:val="000000"/>
                <w:sz w:val="20"/>
                <w:szCs w:val="20"/>
                <w:lang w:eastAsia="fr-FR"/>
              </w:rPr>
            </w:pPr>
          </w:p>
          <w:p w:rsidR="006F6696" w:rsidRPr="006F6696" w:rsidRDefault="006F6696" w:rsidP="006F6696">
            <w:pPr>
              <w:spacing w:after="0" w:line="270" w:lineRule="atLeast"/>
              <w:ind w:left="720"/>
              <w:rPr>
                <w:rFonts w:ascii="Trebuchet MS" w:eastAsia="Times New Roman" w:hAnsi="Trebuchet MS" w:cs="Times New Roman"/>
                <w:color w:val="000000"/>
                <w:sz w:val="20"/>
                <w:szCs w:val="20"/>
                <w:lang w:eastAsia="fr-FR"/>
              </w:rPr>
            </w:pPr>
          </w:p>
          <w:p w:rsidR="006F6696" w:rsidRPr="006F6696" w:rsidRDefault="006F6696" w:rsidP="006F6696">
            <w:pPr>
              <w:numPr>
                <w:ilvl w:val="0"/>
                <w:numId w:val="9"/>
              </w:numPr>
              <w:spacing w:before="100" w:beforeAutospacing="1" w:after="100" w:afterAutospacing="1"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ils peuvent être responsables de maladies plus ou moins graves.</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Les microorganismes opportunistes ont un pouvoir pathogène insuffisant pour vaincre les défenses de l’hôte. Leur pathogénicité ne s’exprime que lorsque les défenses de l’hôte sont affaiblies dans des circonstances physiologiques (âge extrême, grossesse …) ou pathologiques (maladie sous-jacente, intervention chirurgicale lourde, brûlure ...).</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Les microorganismes pathogènes sont capables de provoquer une maladie infectieuse chez un hôte en bonne santé. Leur pouvoir pathogène est une notion qualitative qui dépend des souches et de leur virulence, c'est-à-dire de leur capacité à se multiplier ou à produire des toxines.</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t>&lt;TABLE cellSpacing=1 cellPadding=1 width="100%" summary="" border=0&gt;</w:t>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t>&lt;TR&gt;</w:t>
            </w:r>
            <w:r w:rsidRPr="006F6696">
              <w:rPr>
                <w:rFonts w:ascii="Trebuchet MS" w:eastAsia="Times New Roman" w:hAnsi="Trebuchet MS" w:cs="Times New Roman"/>
                <w:color w:val="000000"/>
                <w:sz w:val="20"/>
                <w:szCs w:val="20"/>
                <w:lang w:eastAsia="fr-FR"/>
              </w:rPr>
              <w:br/>
              <w:t>&lt;td&gt;</w:t>
            </w:r>
          </w:p>
          <w:p w:rsidR="006F6696" w:rsidRPr="006F6696" w:rsidRDefault="006F6696" w:rsidP="006F6696">
            <w:pPr>
              <w:spacing w:after="100" w:line="270" w:lineRule="atLeast"/>
              <w:jc w:val="center"/>
              <w:rPr>
                <w:rFonts w:ascii="Trebuchet MS" w:eastAsia="Times New Roman" w:hAnsi="Trebuchet MS" w:cs="Times New Roman"/>
                <w:color w:val="000000"/>
                <w:sz w:val="20"/>
                <w:szCs w:val="20"/>
                <w:lang w:eastAsia="fr-FR"/>
              </w:rPr>
            </w:pPr>
            <w:r>
              <w:rPr>
                <w:rFonts w:ascii="Trebuchet MS" w:eastAsia="Times New Roman" w:hAnsi="Trebuchet MS" w:cs="Times New Roman"/>
                <w:noProof/>
                <w:color w:val="000000"/>
                <w:sz w:val="20"/>
                <w:szCs w:val="20"/>
                <w:lang w:eastAsia="fr-FR"/>
              </w:rPr>
              <w:drawing>
                <wp:inline distT="0" distB="0" distL="0" distR="0">
                  <wp:extent cx="1428750" cy="914400"/>
                  <wp:effectExtent l="19050" t="0" r="0" b="0"/>
                  <wp:docPr id="12" name="Image 12" descr="http://www.inra.fr/var/plain/storage/htmlarea/3865/PCD8003_IMG0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inra.fr/var/plain/storage/htmlarea/3865/PCD8003_IMG0050.jpg"/>
                          <pic:cNvPicPr>
                            <a:picLocks noChangeAspect="1" noChangeArrowheads="1"/>
                          </pic:cNvPicPr>
                        </pic:nvPicPr>
                        <pic:blipFill>
                          <a:blip r:embed="rId16"/>
                          <a:srcRect/>
                          <a:stretch>
                            <a:fillRect/>
                          </a:stretch>
                        </pic:blipFill>
                        <pic:spPr bwMode="auto">
                          <a:xfrm>
                            <a:off x="0" y="0"/>
                            <a:ext cx="1428750" cy="914400"/>
                          </a:xfrm>
                          <a:prstGeom prst="rect">
                            <a:avLst/>
                          </a:prstGeom>
                          <a:noFill/>
                          <a:ln w="9525">
                            <a:noFill/>
                            <a:miter lim="800000"/>
                            <a:headEnd/>
                            <a:tailEnd/>
                          </a:ln>
                        </pic:spPr>
                      </pic:pic>
                    </a:graphicData>
                  </a:graphic>
                </wp:inline>
              </w:drawing>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t>&lt;/TD&gt;</w:t>
            </w:r>
            <w:r w:rsidRPr="006F6696">
              <w:rPr>
                <w:rFonts w:ascii="Trebuchet MS" w:eastAsia="Times New Roman" w:hAnsi="Trebuchet MS" w:cs="Times New Roman"/>
                <w:color w:val="000000"/>
                <w:sz w:val="20"/>
                <w:szCs w:val="20"/>
                <w:lang w:eastAsia="fr-FR"/>
              </w:rPr>
              <w:br/>
              <w:t>&lt;td&gt; &lt;/TD&gt;</w:t>
            </w:r>
            <w:r w:rsidRPr="006F6696">
              <w:rPr>
                <w:rFonts w:ascii="Trebuchet MS" w:eastAsia="Times New Roman" w:hAnsi="Trebuchet MS" w:cs="Times New Roman"/>
                <w:color w:val="000000"/>
                <w:sz w:val="20"/>
                <w:szCs w:val="20"/>
                <w:lang w:eastAsia="fr-FR"/>
              </w:rPr>
              <w:br/>
              <w:t>&lt;td&gt;</w:t>
            </w:r>
          </w:p>
          <w:p w:rsidR="006F6696" w:rsidRPr="006F6696" w:rsidRDefault="006F6696" w:rsidP="006F6696">
            <w:pPr>
              <w:spacing w:after="100" w:line="270" w:lineRule="atLeast"/>
              <w:jc w:val="center"/>
              <w:rPr>
                <w:rFonts w:ascii="Trebuchet MS" w:eastAsia="Times New Roman" w:hAnsi="Trebuchet MS" w:cs="Times New Roman"/>
                <w:color w:val="000000"/>
                <w:sz w:val="20"/>
                <w:szCs w:val="20"/>
                <w:lang w:eastAsia="fr-FR"/>
              </w:rPr>
            </w:pPr>
            <w:r>
              <w:rPr>
                <w:rFonts w:ascii="Trebuchet MS" w:eastAsia="Times New Roman" w:hAnsi="Trebuchet MS" w:cs="Times New Roman"/>
                <w:noProof/>
                <w:color w:val="000000"/>
                <w:sz w:val="20"/>
                <w:szCs w:val="20"/>
                <w:lang w:eastAsia="fr-FR"/>
              </w:rPr>
              <w:drawing>
                <wp:inline distT="0" distB="0" distL="0" distR="0">
                  <wp:extent cx="1428750" cy="942975"/>
                  <wp:effectExtent l="19050" t="0" r="0" b="0"/>
                  <wp:docPr id="13" name="Image 13" descr="http://www.inra.fr/var/plain/storage/htmlarea/3865/PCD0264_IMG0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inra.fr/var/plain/storage/htmlarea/3865/PCD0264_IMG0035.jpg"/>
                          <pic:cNvPicPr>
                            <a:picLocks noChangeAspect="1" noChangeArrowheads="1"/>
                          </pic:cNvPicPr>
                        </pic:nvPicPr>
                        <pic:blipFill>
                          <a:blip r:embed="rId17"/>
                          <a:srcRect/>
                          <a:stretch>
                            <a:fillRect/>
                          </a:stretch>
                        </pic:blipFill>
                        <pic:spPr bwMode="auto">
                          <a:xfrm>
                            <a:off x="0" y="0"/>
                            <a:ext cx="1428750" cy="942975"/>
                          </a:xfrm>
                          <a:prstGeom prst="rect">
                            <a:avLst/>
                          </a:prstGeom>
                          <a:noFill/>
                          <a:ln w="9525">
                            <a:noFill/>
                            <a:miter lim="800000"/>
                            <a:headEnd/>
                            <a:tailEnd/>
                          </a:ln>
                        </pic:spPr>
                      </pic:pic>
                    </a:graphicData>
                  </a:graphic>
                </wp:inline>
              </w:drawing>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t>&lt;/TD&gt;</w:t>
            </w:r>
            <w:r w:rsidRPr="006F6696">
              <w:rPr>
                <w:rFonts w:ascii="Trebuchet MS" w:eastAsia="Times New Roman" w:hAnsi="Trebuchet MS" w:cs="Times New Roman"/>
                <w:color w:val="000000"/>
                <w:sz w:val="20"/>
                <w:szCs w:val="20"/>
                <w:lang w:eastAsia="fr-FR"/>
              </w:rPr>
              <w:br/>
              <w:t>&lt;td&gt; &lt;/TD&gt;</w:t>
            </w:r>
            <w:r w:rsidRPr="006F6696">
              <w:rPr>
                <w:rFonts w:ascii="Trebuchet MS" w:eastAsia="Times New Roman" w:hAnsi="Trebuchet MS" w:cs="Times New Roman"/>
                <w:color w:val="000000"/>
                <w:sz w:val="20"/>
                <w:szCs w:val="20"/>
                <w:lang w:eastAsia="fr-FR"/>
              </w:rPr>
              <w:br/>
              <w:t>&lt;td&gt;</w:t>
            </w:r>
          </w:p>
          <w:p w:rsidR="006F6696" w:rsidRPr="006F6696" w:rsidRDefault="006F6696" w:rsidP="006F6696">
            <w:pPr>
              <w:spacing w:after="100" w:line="270" w:lineRule="atLeast"/>
              <w:jc w:val="center"/>
              <w:rPr>
                <w:rFonts w:ascii="Trebuchet MS" w:eastAsia="Times New Roman" w:hAnsi="Trebuchet MS" w:cs="Times New Roman"/>
                <w:color w:val="000000"/>
                <w:sz w:val="20"/>
                <w:szCs w:val="20"/>
                <w:lang w:eastAsia="fr-FR"/>
              </w:rPr>
            </w:pPr>
            <w:r>
              <w:rPr>
                <w:rFonts w:ascii="Trebuchet MS" w:eastAsia="Times New Roman" w:hAnsi="Trebuchet MS" w:cs="Times New Roman"/>
                <w:noProof/>
                <w:color w:val="000000"/>
                <w:sz w:val="20"/>
                <w:szCs w:val="20"/>
                <w:lang w:eastAsia="fr-FR"/>
              </w:rPr>
              <w:drawing>
                <wp:inline distT="0" distB="0" distL="0" distR="0">
                  <wp:extent cx="1428750" cy="981075"/>
                  <wp:effectExtent l="19050" t="0" r="0" b="0"/>
                  <wp:docPr id="14" name="Image 14" descr="http://www.inra.fr/var/plain/storage/htmlarea/3865/PCD9026_IMG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inra.fr/var/plain/storage/htmlarea/3865/PCD9026_IMG0024.jpg"/>
                          <pic:cNvPicPr>
                            <a:picLocks noChangeAspect="1" noChangeArrowheads="1"/>
                          </pic:cNvPicPr>
                        </pic:nvPicPr>
                        <pic:blipFill>
                          <a:blip r:embed="rId18"/>
                          <a:srcRect/>
                          <a:stretch>
                            <a:fillRect/>
                          </a:stretch>
                        </pic:blipFill>
                        <pic:spPr bwMode="auto">
                          <a:xfrm>
                            <a:off x="0" y="0"/>
                            <a:ext cx="1428750" cy="981075"/>
                          </a:xfrm>
                          <a:prstGeom prst="rect">
                            <a:avLst/>
                          </a:prstGeom>
                          <a:noFill/>
                          <a:ln w="9525">
                            <a:noFill/>
                            <a:miter lim="800000"/>
                            <a:headEnd/>
                            <a:tailEnd/>
                          </a:ln>
                        </pic:spPr>
                      </pic:pic>
                    </a:graphicData>
                  </a:graphic>
                </wp:inline>
              </w:drawing>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t>&lt;/TD&gt;&lt;/TR&gt;</w:t>
            </w:r>
            <w:r w:rsidRPr="006F6696">
              <w:rPr>
                <w:rFonts w:ascii="Trebuchet MS" w:eastAsia="Times New Roman" w:hAnsi="Trebuchet MS" w:cs="Times New Roman"/>
                <w:color w:val="000000"/>
                <w:sz w:val="20"/>
                <w:szCs w:val="20"/>
                <w:lang w:eastAsia="fr-FR"/>
              </w:rPr>
              <w:br/>
              <w:t>&lt;TR&gt;</w:t>
            </w:r>
            <w:r w:rsidRPr="006F6696">
              <w:rPr>
                <w:rFonts w:ascii="Trebuchet MS" w:eastAsia="Times New Roman" w:hAnsi="Trebuchet MS" w:cs="Times New Roman"/>
                <w:color w:val="000000"/>
                <w:sz w:val="20"/>
                <w:szCs w:val="20"/>
                <w:lang w:eastAsia="fr-FR"/>
              </w:rPr>
              <w:br/>
              <w:t>&lt;td&gt;</w:t>
            </w:r>
          </w:p>
          <w:p w:rsidR="006F6696" w:rsidRPr="006F6696" w:rsidRDefault="006F6696" w:rsidP="006F6696">
            <w:pPr>
              <w:spacing w:after="100" w:line="270" w:lineRule="atLeast"/>
              <w:jc w:val="center"/>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lastRenderedPageBreak/>
              <w:t>Feuille atteinte de mosaïque du tabac.</w:t>
            </w:r>
            <w:r w:rsidRPr="006F6696">
              <w:rPr>
                <w:rFonts w:ascii="Trebuchet MS" w:eastAsia="Times New Roman" w:hAnsi="Trebuchet MS" w:cs="Times New Roman"/>
                <w:color w:val="000000"/>
                <w:sz w:val="20"/>
                <w:szCs w:val="20"/>
                <w:lang w:eastAsia="fr-FR"/>
              </w:rPr>
              <w:br/>
              <w:t>© Inra, M. Fouchard</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t>&lt;/TD&gt;</w:t>
            </w:r>
            <w:r w:rsidRPr="006F6696">
              <w:rPr>
                <w:rFonts w:ascii="Trebuchet MS" w:eastAsia="Times New Roman" w:hAnsi="Trebuchet MS" w:cs="Times New Roman"/>
                <w:color w:val="000000"/>
                <w:sz w:val="20"/>
                <w:szCs w:val="20"/>
                <w:lang w:eastAsia="fr-FR"/>
              </w:rPr>
              <w:br/>
              <w:t>&lt;td&gt; &lt;/TD&gt;</w:t>
            </w:r>
            <w:r w:rsidRPr="006F6696">
              <w:rPr>
                <w:rFonts w:ascii="Trebuchet MS" w:eastAsia="Times New Roman" w:hAnsi="Trebuchet MS" w:cs="Times New Roman"/>
                <w:color w:val="000000"/>
                <w:sz w:val="20"/>
                <w:szCs w:val="20"/>
                <w:lang w:eastAsia="fr-FR"/>
              </w:rPr>
              <w:br/>
              <w:t>&lt;td&gt;</w:t>
            </w:r>
          </w:p>
          <w:p w:rsidR="006F6696" w:rsidRPr="006F6696" w:rsidRDefault="006F6696" w:rsidP="006F6696">
            <w:pPr>
              <w:spacing w:after="100" w:line="270" w:lineRule="atLeast"/>
              <w:jc w:val="center"/>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Mosaïque sur tomate : anomalie de la coloration des fruits provoquée par un rhabdovirus.</w:t>
            </w:r>
            <w:r w:rsidRPr="006F6696">
              <w:rPr>
                <w:rFonts w:ascii="Trebuchet MS" w:eastAsia="Times New Roman" w:hAnsi="Trebuchet MS" w:cs="Times New Roman"/>
                <w:color w:val="000000"/>
                <w:sz w:val="20"/>
                <w:szCs w:val="20"/>
                <w:lang w:eastAsia="fr-FR"/>
              </w:rPr>
              <w:br/>
              <w:t>© Inra, D. Blancard</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t>&lt;/TD&gt;</w:t>
            </w:r>
            <w:r w:rsidRPr="006F6696">
              <w:rPr>
                <w:rFonts w:ascii="Trebuchet MS" w:eastAsia="Times New Roman" w:hAnsi="Trebuchet MS" w:cs="Times New Roman"/>
                <w:color w:val="000000"/>
                <w:sz w:val="20"/>
                <w:szCs w:val="20"/>
                <w:lang w:eastAsia="fr-FR"/>
              </w:rPr>
              <w:br/>
              <w:t>&lt;td&gt; &lt;/TD&gt;</w:t>
            </w:r>
            <w:r w:rsidRPr="006F6696">
              <w:rPr>
                <w:rFonts w:ascii="Trebuchet MS" w:eastAsia="Times New Roman" w:hAnsi="Trebuchet MS" w:cs="Times New Roman"/>
                <w:color w:val="000000"/>
                <w:sz w:val="20"/>
                <w:szCs w:val="20"/>
                <w:lang w:eastAsia="fr-FR"/>
              </w:rPr>
              <w:br/>
              <w:t>&lt;td&gt;</w:t>
            </w:r>
          </w:p>
          <w:p w:rsidR="006F6696" w:rsidRPr="006F6696" w:rsidRDefault="006F6696" w:rsidP="006F6696">
            <w:pPr>
              <w:spacing w:after="100" w:line="270" w:lineRule="atLeast"/>
              <w:jc w:val="center"/>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Bovins ayant perdu leur queue suite à des gangrènes sèches provoquées par l'endophyte de la Fétuque élevée.</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color w:val="000000"/>
                <w:sz w:val="20"/>
                <w:szCs w:val="20"/>
                <w:lang w:eastAsia="fr-FR"/>
              </w:rPr>
              <w:br/>
              <w:t>© Inra, G. Raynal&lt;/TD&gt;&lt;/TR&gt;&lt;/TABLE&gt;</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t>Ainsi, les microorganismes sont à l’origine de quelques épisodes sombres de notre Histoire :</w:t>
            </w:r>
          </w:p>
          <w:p w:rsidR="006F6696" w:rsidRPr="006F6696" w:rsidRDefault="006F6696" w:rsidP="006F6696">
            <w:pPr>
              <w:spacing w:after="0" w:line="270" w:lineRule="atLeast"/>
              <w:ind w:left="720"/>
              <w:rPr>
                <w:rFonts w:ascii="Trebuchet MS" w:eastAsia="Times New Roman" w:hAnsi="Trebuchet MS" w:cs="Times New Roman"/>
                <w:color w:val="000000"/>
                <w:sz w:val="20"/>
                <w:szCs w:val="20"/>
                <w:lang w:eastAsia="fr-FR"/>
              </w:rPr>
            </w:pPr>
          </w:p>
          <w:p w:rsidR="006F6696" w:rsidRPr="006F6696" w:rsidRDefault="006F6696" w:rsidP="006F6696">
            <w:pPr>
              <w:numPr>
                <w:ilvl w:val="0"/>
                <w:numId w:val="10"/>
              </w:numPr>
              <w:spacing w:before="100" w:beforeAutospacing="1" w:after="100" w:afterAutospacing="1"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les maladies infectieuses sont, au monde, la deuxième cause de mortalité chez l’Homme ;</w:t>
            </w:r>
          </w:p>
          <w:p w:rsidR="006F6696" w:rsidRPr="006F6696" w:rsidRDefault="006F6696" w:rsidP="006F6696">
            <w:pPr>
              <w:numPr>
                <w:ilvl w:val="0"/>
                <w:numId w:val="10"/>
              </w:numPr>
              <w:spacing w:before="100" w:beforeAutospacing="1" w:after="100" w:afterAutospacing="1"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entre 1918 et 1919, la grippe a fait 40 millions de morts soit autant que les victimes de la première et deuxième guerres mondiales (8 et 35 millions de morts, respectivement) ;</w:t>
            </w:r>
          </w:p>
          <w:p w:rsidR="006F6696" w:rsidRPr="006F6696" w:rsidRDefault="006F6696" w:rsidP="006F6696">
            <w:pPr>
              <w:numPr>
                <w:ilvl w:val="0"/>
                <w:numId w:val="10"/>
              </w:numPr>
              <w:spacing w:before="100" w:beforeAutospacing="1" w:after="100" w:afterAutospacing="1"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au XV</w:t>
            </w:r>
            <w:r w:rsidRPr="006F6696">
              <w:rPr>
                <w:rFonts w:ascii="Trebuchet MS" w:eastAsia="Times New Roman" w:hAnsi="Trebuchet MS" w:cs="Times New Roman"/>
                <w:color w:val="000000"/>
                <w:sz w:val="20"/>
                <w:szCs w:val="20"/>
                <w:vertAlign w:val="superscript"/>
                <w:lang w:eastAsia="fr-FR"/>
              </w:rPr>
              <w:t>e</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color w:val="000000"/>
                <w:sz w:val="20"/>
                <w:szCs w:val="20"/>
                <w:lang w:eastAsia="fr-FR"/>
              </w:rPr>
              <w:t>siècle, les épidémies de variole, rougeole, typhus et grippe, apportées par la conquête espagnole ont provoqué la chute de l’empire Aztèque ;</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t>&lt;TABLE cellSpacing=1 cellPadding=1 width="100%" summary="" border=0&gt;</w:t>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t>&lt;TR&gt;</w:t>
            </w:r>
            <w:r w:rsidRPr="006F6696">
              <w:rPr>
                <w:rFonts w:ascii="Trebuchet MS" w:eastAsia="Times New Roman" w:hAnsi="Trebuchet MS" w:cs="Times New Roman"/>
                <w:color w:val="000000"/>
                <w:sz w:val="20"/>
                <w:szCs w:val="20"/>
                <w:lang w:eastAsia="fr-FR"/>
              </w:rPr>
              <w:br/>
              <w:t>&lt;td&gt;</w:t>
            </w:r>
          </w:p>
          <w:p w:rsidR="006F6696" w:rsidRPr="006F6696" w:rsidRDefault="006F6696" w:rsidP="006F6696">
            <w:pPr>
              <w:spacing w:after="0" w:line="270" w:lineRule="atLeast"/>
              <w:ind w:left="720"/>
              <w:rPr>
                <w:rFonts w:ascii="Trebuchet MS" w:eastAsia="Times New Roman" w:hAnsi="Trebuchet MS" w:cs="Times New Roman"/>
                <w:color w:val="000000"/>
                <w:sz w:val="20"/>
                <w:szCs w:val="20"/>
                <w:lang w:eastAsia="fr-FR"/>
              </w:rPr>
            </w:pPr>
          </w:p>
          <w:p w:rsidR="006F6696" w:rsidRPr="006F6696" w:rsidRDefault="006F6696" w:rsidP="006F6696">
            <w:pPr>
              <w:numPr>
                <w:ilvl w:val="0"/>
                <w:numId w:val="11"/>
              </w:numPr>
              <w:spacing w:before="100" w:beforeAutospacing="1" w:after="100" w:afterAutospacing="1"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au XIX</w:t>
            </w:r>
            <w:r w:rsidRPr="006F6696">
              <w:rPr>
                <w:rFonts w:ascii="Trebuchet MS" w:eastAsia="Times New Roman" w:hAnsi="Trebuchet MS" w:cs="Times New Roman"/>
                <w:color w:val="000000"/>
                <w:sz w:val="20"/>
                <w:szCs w:val="20"/>
                <w:vertAlign w:val="superscript"/>
                <w:lang w:eastAsia="fr-FR"/>
              </w:rPr>
              <w:t>e</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color w:val="000000"/>
                <w:sz w:val="20"/>
                <w:szCs w:val="20"/>
                <w:lang w:eastAsia="fr-FR"/>
              </w:rPr>
              <w:t>siècle, une épidémie de mildiou à l'origine d'une grande famine en Irlande, entraîne une importante émigration vers les Etats-Unis ;</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t>&lt;BLOCKQUOTE dir=ltr&gt;</w:t>
            </w:r>
            <w:r w:rsidRPr="006F6696">
              <w:rPr>
                <w:rFonts w:ascii="Trebuchet MS" w:eastAsia="Times New Roman" w:hAnsi="Trebuchet MS" w:cs="Times New Roman"/>
                <w:color w:val="000000"/>
                <w:sz w:val="20"/>
                <w:szCs w:val="20"/>
                <w:lang w:eastAsia="fr-FR"/>
              </w:rPr>
              <w:br/>
              <w:t>Symptômes de mildiou,</w:t>
            </w:r>
            <w:r w:rsidRPr="006F6696">
              <w:rPr>
                <w:rFonts w:ascii="Trebuchet MS" w:eastAsia="Times New Roman" w:hAnsi="Trebuchet MS" w:cs="Times New Roman"/>
                <w:color w:val="000000"/>
                <w:sz w:val="20"/>
                <w:lang w:eastAsia="fr-FR"/>
              </w:rPr>
              <w:t> </w:t>
            </w:r>
            <w:r w:rsidRPr="006F6696">
              <w:rPr>
                <w:rFonts w:ascii="Trebuchet MS" w:eastAsia="Times New Roman" w:hAnsi="Trebuchet MS" w:cs="Times New Roman"/>
                <w:i/>
                <w:iCs/>
                <w:color w:val="000000"/>
                <w:sz w:val="20"/>
                <w:szCs w:val="20"/>
                <w:lang w:eastAsia="fr-FR"/>
              </w:rPr>
              <w:t>Phytophthora infestans</w:t>
            </w:r>
            <w:r w:rsidRPr="006F6696">
              <w:rPr>
                <w:rFonts w:ascii="Trebuchet MS" w:eastAsia="Times New Roman" w:hAnsi="Trebuchet MS" w:cs="Times New Roman"/>
                <w:color w:val="000000"/>
                <w:sz w:val="20"/>
                <w:szCs w:val="20"/>
                <w:lang w:eastAsia="fr-FR"/>
              </w:rPr>
              <w:t>, sur la partie aérienne d'un pied de pomme de terre. © Inra&lt;/BLOCKQUOTE&gt;&lt;/TD&gt;</w:t>
            </w:r>
            <w:r w:rsidRPr="006F6696">
              <w:rPr>
                <w:rFonts w:ascii="Trebuchet MS" w:eastAsia="Times New Roman" w:hAnsi="Trebuchet MS" w:cs="Times New Roman"/>
                <w:color w:val="000000"/>
                <w:sz w:val="20"/>
                <w:szCs w:val="20"/>
                <w:lang w:eastAsia="fr-FR"/>
              </w:rPr>
              <w:br/>
              <w:t>&lt;td&gt;</w:t>
            </w:r>
            <w:r>
              <w:rPr>
                <w:rFonts w:ascii="Trebuchet MS" w:eastAsia="Times New Roman" w:hAnsi="Trebuchet MS" w:cs="Times New Roman"/>
                <w:noProof/>
                <w:color w:val="000000"/>
                <w:sz w:val="20"/>
                <w:szCs w:val="20"/>
                <w:lang w:eastAsia="fr-FR"/>
              </w:rPr>
              <w:drawing>
                <wp:inline distT="0" distB="0" distL="0" distR="0">
                  <wp:extent cx="1428750" cy="933450"/>
                  <wp:effectExtent l="19050" t="0" r="0" b="0"/>
                  <wp:docPr id="15" name="Image 15" descr="http://www.inra.fr/var/plain/storage/htmlarea/3865/Mildio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inra.fr/var/plain/storage/htmlarea/3865/Mildiou.jpg"/>
                          <pic:cNvPicPr>
                            <a:picLocks noChangeAspect="1" noChangeArrowheads="1"/>
                          </pic:cNvPicPr>
                        </pic:nvPicPr>
                        <pic:blipFill>
                          <a:blip r:embed="rId19"/>
                          <a:srcRect/>
                          <a:stretch>
                            <a:fillRect/>
                          </a:stretch>
                        </pic:blipFill>
                        <pic:spPr bwMode="auto">
                          <a:xfrm>
                            <a:off x="0" y="0"/>
                            <a:ext cx="1428750" cy="933450"/>
                          </a:xfrm>
                          <a:prstGeom prst="rect">
                            <a:avLst/>
                          </a:prstGeom>
                          <a:noFill/>
                          <a:ln w="9525">
                            <a:noFill/>
                            <a:miter lim="800000"/>
                            <a:headEnd/>
                            <a:tailEnd/>
                          </a:ln>
                        </pic:spPr>
                      </pic:pic>
                    </a:graphicData>
                  </a:graphic>
                </wp:inline>
              </w:drawing>
            </w:r>
            <w:r w:rsidRPr="006F6696">
              <w:rPr>
                <w:rFonts w:ascii="Trebuchet MS" w:eastAsia="Times New Roman" w:hAnsi="Trebuchet MS" w:cs="Times New Roman"/>
                <w:color w:val="000000"/>
                <w:sz w:val="20"/>
                <w:szCs w:val="20"/>
                <w:lang w:eastAsia="fr-FR"/>
              </w:rPr>
              <w:t>&lt;/TD&gt;&lt;/TR&gt;&lt;/TABLE&gt;</w:t>
            </w:r>
          </w:p>
          <w:p w:rsidR="006F6696" w:rsidRPr="006F6696" w:rsidRDefault="006F6696" w:rsidP="006F6696">
            <w:pPr>
              <w:spacing w:after="0" w:line="270" w:lineRule="atLeast"/>
              <w:ind w:left="720"/>
              <w:rPr>
                <w:rFonts w:ascii="Trebuchet MS" w:eastAsia="Times New Roman" w:hAnsi="Trebuchet MS" w:cs="Times New Roman"/>
                <w:color w:val="000000"/>
                <w:sz w:val="20"/>
                <w:szCs w:val="20"/>
                <w:lang w:eastAsia="fr-FR"/>
              </w:rPr>
            </w:pPr>
          </w:p>
          <w:p w:rsidR="006F6696" w:rsidRPr="006F6696" w:rsidRDefault="006F6696" w:rsidP="006F6696">
            <w:pPr>
              <w:numPr>
                <w:ilvl w:val="0"/>
                <w:numId w:val="12"/>
              </w:numPr>
              <w:spacing w:before="100" w:beforeAutospacing="1" w:after="100" w:afterAutospacing="1"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lastRenderedPageBreak/>
              <w:t>les maladies de dégénérescence des arbres à pépins (pommier, poirier) ont des incidences économiques conséquentes.</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t>&lt;TABLE cellSpacing=1 cellPadding=1 width="100%" summary="" border=0&gt;</w:t>
            </w:r>
            <w:r w:rsidRPr="006F6696">
              <w:rPr>
                <w:rFonts w:ascii="Trebuchet MS" w:eastAsia="Times New Roman" w:hAnsi="Trebuchet MS" w:cs="Times New Roman"/>
                <w:color w:val="000000"/>
                <w:sz w:val="20"/>
                <w:szCs w:val="20"/>
                <w:lang w:eastAsia="fr-FR"/>
              </w:rPr>
              <w:br/>
            </w:r>
            <w:r w:rsidRPr="006F6696">
              <w:rPr>
                <w:rFonts w:ascii="Trebuchet MS" w:eastAsia="Times New Roman" w:hAnsi="Trebuchet MS" w:cs="Times New Roman"/>
                <w:color w:val="000000"/>
                <w:sz w:val="20"/>
                <w:szCs w:val="20"/>
                <w:lang w:eastAsia="fr-FR"/>
              </w:rPr>
              <w:br/>
              <w:t>&lt;TR&gt;</w:t>
            </w:r>
            <w:r w:rsidRPr="006F6696">
              <w:rPr>
                <w:rFonts w:ascii="Trebuchet MS" w:eastAsia="Times New Roman" w:hAnsi="Trebuchet MS" w:cs="Times New Roman"/>
                <w:color w:val="000000"/>
                <w:sz w:val="20"/>
                <w:szCs w:val="20"/>
                <w:lang w:eastAsia="fr-FR"/>
              </w:rPr>
              <w:br/>
              <w:t>&lt;td&gt;</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La prolifération du pommier, d’origine bactérienne, induit une baisse de vigueur de 15 à 30 % en présence de symptômes et la production fruitière est nulle. En absence de symptômes, la vigueur est réduite de 10 à 20 % et la perte de production atteint 20 à 50 %. (</w:t>
            </w:r>
            <w:r w:rsidRPr="006F6696">
              <w:rPr>
                <w:rFonts w:ascii="Trebuchet MS" w:eastAsia="Times New Roman" w:hAnsi="Trebuchet MS" w:cs="Times New Roman"/>
                <w:i/>
                <w:iCs/>
                <w:color w:val="000000"/>
                <w:sz w:val="20"/>
                <w:szCs w:val="20"/>
                <w:lang w:eastAsia="fr-FR"/>
              </w:rPr>
              <w:t>Pour mémoire, la production annuelle de pommes en France est d’environ 2 millions de tonnes</w:t>
            </w:r>
            <w:r w:rsidRPr="006F6696">
              <w:rPr>
                <w:rFonts w:ascii="Trebuchet MS" w:eastAsia="Times New Roman" w:hAnsi="Trebuchet MS" w:cs="Times New Roman"/>
                <w:color w:val="000000"/>
                <w:sz w:val="20"/>
                <w:szCs w:val="20"/>
                <w:lang w:eastAsia="fr-FR"/>
              </w:rPr>
              <w:t>).</w:t>
            </w: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p>
          <w:p w:rsidR="006F6696" w:rsidRPr="006F6696" w:rsidRDefault="006F6696" w:rsidP="006F6696">
            <w:pPr>
              <w:spacing w:after="0" w:line="270" w:lineRule="atLeast"/>
              <w:rPr>
                <w:rFonts w:ascii="Trebuchet MS" w:eastAsia="Times New Roman" w:hAnsi="Trebuchet MS" w:cs="Times New Roman"/>
                <w:color w:val="000000"/>
                <w:sz w:val="20"/>
                <w:szCs w:val="20"/>
                <w:lang w:eastAsia="fr-FR"/>
              </w:rPr>
            </w:pPr>
            <w:r w:rsidRPr="006F6696">
              <w:rPr>
                <w:rFonts w:ascii="Trebuchet MS" w:eastAsia="Times New Roman" w:hAnsi="Trebuchet MS" w:cs="Times New Roman"/>
                <w:color w:val="000000"/>
                <w:sz w:val="20"/>
                <w:szCs w:val="20"/>
                <w:lang w:eastAsia="fr-FR"/>
              </w:rPr>
              <w:t>Symptômes sur fruits de la prolifération du pommier</w:t>
            </w:r>
            <w:r w:rsidRPr="006F6696">
              <w:rPr>
                <w:rFonts w:ascii="Trebuchet MS" w:eastAsia="Times New Roman" w:hAnsi="Trebuchet MS" w:cs="Times New Roman"/>
                <w:color w:val="000000"/>
                <w:sz w:val="20"/>
                <w:szCs w:val="20"/>
                <w:lang w:eastAsia="fr-FR"/>
              </w:rPr>
              <w:br/>
              <w:t>(au centre, un fruit normal). © Inra, J. Lemoine&lt;/TD&gt;&lt;/TR&gt;&lt;/TABLE&gt;</w:t>
            </w:r>
          </w:p>
        </w:tc>
      </w:tr>
    </w:tbl>
    <w:p w:rsidR="007F21C5" w:rsidRDefault="007F21C5"/>
    <w:sectPr w:rsidR="007F21C5" w:rsidSect="007F21C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1B7416"/>
    <w:multiLevelType w:val="multilevel"/>
    <w:tmpl w:val="691E0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3A0B00"/>
    <w:multiLevelType w:val="multilevel"/>
    <w:tmpl w:val="510E0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29166C"/>
    <w:multiLevelType w:val="multilevel"/>
    <w:tmpl w:val="E446F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092052"/>
    <w:multiLevelType w:val="multilevel"/>
    <w:tmpl w:val="43B27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149739C"/>
    <w:multiLevelType w:val="multilevel"/>
    <w:tmpl w:val="12BE5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F224284"/>
    <w:multiLevelType w:val="multilevel"/>
    <w:tmpl w:val="2A7E6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3CE6571"/>
    <w:multiLevelType w:val="multilevel"/>
    <w:tmpl w:val="461E7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6126DA4"/>
    <w:multiLevelType w:val="multilevel"/>
    <w:tmpl w:val="EF204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D6A14E8"/>
    <w:multiLevelType w:val="multilevel"/>
    <w:tmpl w:val="70A4C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AEE25AC"/>
    <w:multiLevelType w:val="multilevel"/>
    <w:tmpl w:val="D7265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B0459CF"/>
    <w:multiLevelType w:val="multilevel"/>
    <w:tmpl w:val="4ACE2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ABD731A"/>
    <w:multiLevelType w:val="multilevel"/>
    <w:tmpl w:val="1A4C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9"/>
  </w:num>
  <w:num w:numId="4">
    <w:abstractNumId w:val="4"/>
  </w:num>
  <w:num w:numId="5">
    <w:abstractNumId w:val="3"/>
  </w:num>
  <w:num w:numId="6">
    <w:abstractNumId w:val="2"/>
  </w:num>
  <w:num w:numId="7">
    <w:abstractNumId w:val="7"/>
  </w:num>
  <w:num w:numId="8">
    <w:abstractNumId w:val="11"/>
  </w:num>
  <w:num w:numId="9">
    <w:abstractNumId w:val="5"/>
  </w:num>
  <w:num w:numId="10">
    <w:abstractNumId w:val="8"/>
  </w:num>
  <w:num w:numId="11">
    <w:abstractNumId w:val="1"/>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6F6696"/>
    <w:rsid w:val="006F6696"/>
    <w:rsid w:val="007F21C5"/>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21C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6F6696"/>
    <w:rPr>
      <w:b/>
      <w:bCs/>
    </w:rPr>
  </w:style>
  <w:style w:type="character" w:customStyle="1" w:styleId="apple-converted-space">
    <w:name w:val="apple-converted-space"/>
    <w:basedOn w:val="Policepardfaut"/>
    <w:rsid w:val="006F6696"/>
  </w:style>
  <w:style w:type="paragraph" w:styleId="Textedebulles">
    <w:name w:val="Balloon Text"/>
    <w:basedOn w:val="Normal"/>
    <w:link w:val="TextedebullesCar"/>
    <w:uiPriority w:val="99"/>
    <w:semiHidden/>
    <w:unhideWhenUsed/>
    <w:rsid w:val="006F669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F669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17163543">
      <w:bodyDiv w:val="1"/>
      <w:marLeft w:val="0"/>
      <w:marRight w:val="0"/>
      <w:marTop w:val="0"/>
      <w:marBottom w:val="0"/>
      <w:divBdr>
        <w:top w:val="none" w:sz="0" w:space="0" w:color="auto"/>
        <w:left w:val="none" w:sz="0" w:space="0" w:color="auto"/>
        <w:bottom w:val="none" w:sz="0" w:space="0" w:color="auto"/>
        <w:right w:val="none" w:sz="0" w:space="0" w:color="auto"/>
      </w:divBdr>
      <w:divsChild>
        <w:div w:id="454298731">
          <w:marLeft w:val="0"/>
          <w:marRight w:val="0"/>
          <w:marTop w:val="0"/>
          <w:marBottom w:val="0"/>
          <w:divBdr>
            <w:top w:val="none" w:sz="0" w:space="0" w:color="auto"/>
            <w:left w:val="none" w:sz="0" w:space="0" w:color="auto"/>
            <w:bottom w:val="none" w:sz="0" w:space="0" w:color="auto"/>
            <w:right w:val="none" w:sz="0" w:space="0" w:color="auto"/>
          </w:divBdr>
        </w:div>
        <w:div w:id="1874296304">
          <w:marLeft w:val="0"/>
          <w:marRight w:val="0"/>
          <w:marTop w:val="0"/>
          <w:marBottom w:val="0"/>
          <w:divBdr>
            <w:top w:val="none" w:sz="0" w:space="0" w:color="auto"/>
            <w:left w:val="none" w:sz="0" w:space="0" w:color="auto"/>
            <w:bottom w:val="none" w:sz="0" w:space="0" w:color="auto"/>
            <w:right w:val="none" w:sz="0" w:space="0" w:color="auto"/>
          </w:divBdr>
        </w:div>
        <w:div w:id="196242636">
          <w:marLeft w:val="0"/>
          <w:marRight w:val="0"/>
          <w:marTop w:val="0"/>
          <w:marBottom w:val="0"/>
          <w:divBdr>
            <w:top w:val="none" w:sz="0" w:space="0" w:color="auto"/>
            <w:left w:val="none" w:sz="0" w:space="0" w:color="auto"/>
            <w:bottom w:val="none" w:sz="0" w:space="0" w:color="auto"/>
            <w:right w:val="none" w:sz="0" w:space="0" w:color="auto"/>
          </w:divBdr>
        </w:div>
        <w:div w:id="1972393181">
          <w:marLeft w:val="0"/>
          <w:marRight w:val="0"/>
          <w:marTop w:val="0"/>
          <w:marBottom w:val="0"/>
          <w:divBdr>
            <w:top w:val="none" w:sz="0" w:space="0" w:color="auto"/>
            <w:left w:val="none" w:sz="0" w:space="0" w:color="auto"/>
            <w:bottom w:val="none" w:sz="0" w:space="0" w:color="auto"/>
            <w:right w:val="none" w:sz="0" w:space="0" w:color="auto"/>
          </w:divBdr>
        </w:div>
        <w:div w:id="592321665">
          <w:marLeft w:val="0"/>
          <w:marRight w:val="0"/>
          <w:marTop w:val="0"/>
          <w:marBottom w:val="0"/>
          <w:divBdr>
            <w:top w:val="none" w:sz="0" w:space="0" w:color="auto"/>
            <w:left w:val="none" w:sz="0" w:space="0" w:color="auto"/>
            <w:bottom w:val="none" w:sz="0" w:space="0" w:color="auto"/>
            <w:right w:val="none" w:sz="0" w:space="0" w:color="auto"/>
          </w:divBdr>
        </w:div>
        <w:div w:id="172687383">
          <w:marLeft w:val="0"/>
          <w:marRight w:val="0"/>
          <w:marTop w:val="0"/>
          <w:marBottom w:val="0"/>
          <w:divBdr>
            <w:top w:val="none" w:sz="0" w:space="0" w:color="auto"/>
            <w:left w:val="none" w:sz="0" w:space="0" w:color="auto"/>
            <w:bottom w:val="none" w:sz="0" w:space="0" w:color="auto"/>
            <w:right w:val="none" w:sz="0" w:space="0" w:color="auto"/>
          </w:divBdr>
        </w:div>
        <w:div w:id="26764638">
          <w:marLeft w:val="0"/>
          <w:marRight w:val="0"/>
          <w:marTop w:val="0"/>
          <w:marBottom w:val="0"/>
          <w:divBdr>
            <w:top w:val="none" w:sz="0" w:space="0" w:color="auto"/>
            <w:left w:val="none" w:sz="0" w:space="0" w:color="auto"/>
            <w:bottom w:val="none" w:sz="0" w:space="0" w:color="auto"/>
            <w:right w:val="none" w:sz="0" w:space="0" w:color="auto"/>
          </w:divBdr>
        </w:div>
        <w:div w:id="1926497530">
          <w:marLeft w:val="0"/>
          <w:marRight w:val="0"/>
          <w:marTop w:val="0"/>
          <w:marBottom w:val="0"/>
          <w:divBdr>
            <w:top w:val="none" w:sz="0" w:space="0" w:color="auto"/>
            <w:left w:val="none" w:sz="0" w:space="0" w:color="auto"/>
            <w:bottom w:val="none" w:sz="0" w:space="0" w:color="auto"/>
            <w:right w:val="none" w:sz="0" w:space="0" w:color="auto"/>
          </w:divBdr>
        </w:div>
        <w:div w:id="1730617785">
          <w:marLeft w:val="0"/>
          <w:marRight w:val="0"/>
          <w:marTop w:val="0"/>
          <w:marBottom w:val="0"/>
          <w:divBdr>
            <w:top w:val="none" w:sz="0" w:space="0" w:color="auto"/>
            <w:left w:val="none" w:sz="0" w:space="0" w:color="auto"/>
            <w:bottom w:val="none" w:sz="0" w:space="0" w:color="auto"/>
            <w:right w:val="none" w:sz="0" w:space="0" w:color="auto"/>
          </w:divBdr>
        </w:div>
        <w:div w:id="1236470815">
          <w:marLeft w:val="0"/>
          <w:marRight w:val="0"/>
          <w:marTop w:val="0"/>
          <w:marBottom w:val="0"/>
          <w:divBdr>
            <w:top w:val="none" w:sz="0" w:space="0" w:color="auto"/>
            <w:left w:val="none" w:sz="0" w:space="0" w:color="auto"/>
            <w:bottom w:val="none" w:sz="0" w:space="0" w:color="auto"/>
            <w:right w:val="none" w:sz="0" w:space="0" w:color="auto"/>
          </w:divBdr>
        </w:div>
        <w:div w:id="498886178">
          <w:marLeft w:val="0"/>
          <w:marRight w:val="0"/>
          <w:marTop w:val="0"/>
          <w:marBottom w:val="0"/>
          <w:divBdr>
            <w:top w:val="none" w:sz="0" w:space="0" w:color="auto"/>
            <w:left w:val="none" w:sz="0" w:space="0" w:color="auto"/>
            <w:bottom w:val="none" w:sz="0" w:space="0" w:color="auto"/>
            <w:right w:val="none" w:sz="0" w:space="0" w:color="auto"/>
          </w:divBdr>
        </w:div>
        <w:div w:id="1013845161">
          <w:marLeft w:val="0"/>
          <w:marRight w:val="0"/>
          <w:marTop w:val="0"/>
          <w:marBottom w:val="0"/>
          <w:divBdr>
            <w:top w:val="none" w:sz="0" w:space="0" w:color="auto"/>
            <w:left w:val="none" w:sz="0" w:space="0" w:color="auto"/>
            <w:bottom w:val="none" w:sz="0" w:space="0" w:color="auto"/>
            <w:right w:val="none" w:sz="0" w:space="0" w:color="auto"/>
          </w:divBdr>
        </w:div>
        <w:div w:id="1484153746">
          <w:marLeft w:val="0"/>
          <w:marRight w:val="0"/>
          <w:marTop w:val="0"/>
          <w:marBottom w:val="0"/>
          <w:divBdr>
            <w:top w:val="none" w:sz="0" w:space="0" w:color="auto"/>
            <w:left w:val="none" w:sz="0" w:space="0" w:color="auto"/>
            <w:bottom w:val="none" w:sz="0" w:space="0" w:color="auto"/>
            <w:right w:val="none" w:sz="0" w:space="0" w:color="auto"/>
          </w:divBdr>
        </w:div>
        <w:div w:id="1930384119">
          <w:marLeft w:val="0"/>
          <w:marRight w:val="0"/>
          <w:marTop w:val="100"/>
          <w:marBottom w:val="100"/>
          <w:divBdr>
            <w:top w:val="none" w:sz="0" w:space="0" w:color="auto"/>
            <w:left w:val="none" w:sz="0" w:space="0" w:color="auto"/>
            <w:bottom w:val="none" w:sz="0" w:space="0" w:color="auto"/>
            <w:right w:val="none" w:sz="0" w:space="0" w:color="auto"/>
          </w:divBdr>
        </w:div>
        <w:div w:id="2044477245">
          <w:marLeft w:val="0"/>
          <w:marRight w:val="0"/>
          <w:marTop w:val="100"/>
          <w:marBottom w:val="100"/>
          <w:divBdr>
            <w:top w:val="none" w:sz="0" w:space="0" w:color="auto"/>
            <w:left w:val="none" w:sz="0" w:space="0" w:color="auto"/>
            <w:bottom w:val="none" w:sz="0" w:space="0" w:color="auto"/>
            <w:right w:val="none" w:sz="0" w:space="0" w:color="auto"/>
          </w:divBdr>
        </w:div>
        <w:div w:id="622153110">
          <w:marLeft w:val="0"/>
          <w:marRight w:val="0"/>
          <w:marTop w:val="100"/>
          <w:marBottom w:val="100"/>
          <w:divBdr>
            <w:top w:val="none" w:sz="0" w:space="0" w:color="auto"/>
            <w:left w:val="none" w:sz="0" w:space="0" w:color="auto"/>
            <w:bottom w:val="none" w:sz="0" w:space="0" w:color="auto"/>
            <w:right w:val="none" w:sz="0" w:space="0" w:color="auto"/>
          </w:divBdr>
        </w:div>
        <w:div w:id="1913805625">
          <w:marLeft w:val="0"/>
          <w:marRight w:val="0"/>
          <w:marTop w:val="0"/>
          <w:marBottom w:val="0"/>
          <w:divBdr>
            <w:top w:val="none" w:sz="0" w:space="0" w:color="auto"/>
            <w:left w:val="none" w:sz="0" w:space="0" w:color="auto"/>
            <w:bottom w:val="none" w:sz="0" w:space="0" w:color="auto"/>
            <w:right w:val="none" w:sz="0" w:space="0" w:color="auto"/>
          </w:divBdr>
        </w:div>
        <w:div w:id="157233815">
          <w:marLeft w:val="0"/>
          <w:marRight w:val="0"/>
          <w:marTop w:val="0"/>
          <w:marBottom w:val="0"/>
          <w:divBdr>
            <w:top w:val="none" w:sz="0" w:space="0" w:color="auto"/>
            <w:left w:val="none" w:sz="0" w:space="0" w:color="auto"/>
            <w:bottom w:val="none" w:sz="0" w:space="0" w:color="auto"/>
            <w:right w:val="none" w:sz="0" w:space="0" w:color="auto"/>
          </w:divBdr>
        </w:div>
        <w:div w:id="1621179308">
          <w:marLeft w:val="0"/>
          <w:marRight w:val="0"/>
          <w:marTop w:val="0"/>
          <w:marBottom w:val="0"/>
          <w:divBdr>
            <w:top w:val="none" w:sz="0" w:space="0" w:color="auto"/>
            <w:left w:val="none" w:sz="0" w:space="0" w:color="auto"/>
            <w:bottom w:val="none" w:sz="0" w:space="0" w:color="auto"/>
            <w:right w:val="none" w:sz="0" w:space="0" w:color="auto"/>
          </w:divBdr>
        </w:div>
        <w:div w:id="1342662275">
          <w:marLeft w:val="0"/>
          <w:marRight w:val="0"/>
          <w:marTop w:val="0"/>
          <w:marBottom w:val="0"/>
          <w:divBdr>
            <w:top w:val="none" w:sz="0" w:space="0" w:color="auto"/>
            <w:left w:val="none" w:sz="0" w:space="0" w:color="auto"/>
            <w:bottom w:val="none" w:sz="0" w:space="0" w:color="auto"/>
            <w:right w:val="none" w:sz="0" w:space="0" w:color="auto"/>
          </w:divBdr>
        </w:div>
        <w:div w:id="1658530756">
          <w:marLeft w:val="0"/>
          <w:marRight w:val="0"/>
          <w:marTop w:val="0"/>
          <w:marBottom w:val="0"/>
          <w:divBdr>
            <w:top w:val="none" w:sz="0" w:space="0" w:color="auto"/>
            <w:left w:val="none" w:sz="0" w:space="0" w:color="auto"/>
            <w:bottom w:val="none" w:sz="0" w:space="0" w:color="auto"/>
            <w:right w:val="none" w:sz="0" w:space="0" w:color="auto"/>
          </w:divBdr>
        </w:div>
        <w:div w:id="421225772">
          <w:marLeft w:val="0"/>
          <w:marRight w:val="0"/>
          <w:marTop w:val="0"/>
          <w:marBottom w:val="0"/>
          <w:divBdr>
            <w:top w:val="none" w:sz="0" w:space="0" w:color="auto"/>
            <w:left w:val="none" w:sz="0" w:space="0" w:color="auto"/>
            <w:bottom w:val="none" w:sz="0" w:space="0" w:color="auto"/>
            <w:right w:val="none" w:sz="0" w:space="0" w:color="auto"/>
          </w:divBdr>
        </w:div>
        <w:div w:id="1530725248">
          <w:marLeft w:val="0"/>
          <w:marRight w:val="0"/>
          <w:marTop w:val="100"/>
          <w:marBottom w:val="100"/>
          <w:divBdr>
            <w:top w:val="none" w:sz="0" w:space="0" w:color="auto"/>
            <w:left w:val="none" w:sz="0" w:space="0" w:color="auto"/>
            <w:bottom w:val="none" w:sz="0" w:space="0" w:color="auto"/>
            <w:right w:val="none" w:sz="0" w:space="0" w:color="auto"/>
          </w:divBdr>
        </w:div>
        <w:div w:id="1405564730">
          <w:marLeft w:val="0"/>
          <w:marRight w:val="0"/>
          <w:marTop w:val="100"/>
          <w:marBottom w:val="100"/>
          <w:divBdr>
            <w:top w:val="none" w:sz="0" w:space="0" w:color="auto"/>
            <w:left w:val="none" w:sz="0" w:space="0" w:color="auto"/>
            <w:bottom w:val="none" w:sz="0" w:space="0" w:color="auto"/>
            <w:right w:val="none" w:sz="0" w:space="0" w:color="auto"/>
          </w:divBdr>
        </w:div>
        <w:div w:id="1465465888">
          <w:marLeft w:val="0"/>
          <w:marRight w:val="0"/>
          <w:marTop w:val="100"/>
          <w:marBottom w:val="100"/>
          <w:divBdr>
            <w:top w:val="none" w:sz="0" w:space="0" w:color="auto"/>
            <w:left w:val="none" w:sz="0" w:space="0" w:color="auto"/>
            <w:bottom w:val="none" w:sz="0" w:space="0" w:color="auto"/>
            <w:right w:val="none" w:sz="0" w:space="0" w:color="auto"/>
          </w:divBdr>
        </w:div>
        <w:div w:id="724915428">
          <w:marLeft w:val="0"/>
          <w:marRight w:val="0"/>
          <w:marTop w:val="100"/>
          <w:marBottom w:val="100"/>
          <w:divBdr>
            <w:top w:val="none" w:sz="0" w:space="0" w:color="auto"/>
            <w:left w:val="none" w:sz="0" w:space="0" w:color="auto"/>
            <w:bottom w:val="none" w:sz="0" w:space="0" w:color="auto"/>
            <w:right w:val="none" w:sz="0" w:space="0" w:color="auto"/>
          </w:divBdr>
        </w:div>
        <w:div w:id="1686201870">
          <w:marLeft w:val="0"/>
          <w:marRight w:val="0"/>
          <w:marTop w:val="0"/>
          <w:marBottom w:val="0"/>
          <w:divBdr>
            <w:top w:val="none" w:sz="0" w:space="0" w:color="auto"/>
            <w:left w:val="none" w:sz="0" w:space="0" w:color="auto"/>
            <w:bottom w:val="none" w:sz="0" w:space="0" w:color="auto"/>
            <w:right w:val="none" w:sz="0" w:space="0" w:color="auto"/>
          </w:divBdr>
        </w:div>
        <w:div w:id="1352489196">
          <w:marLeft w:val="0"/>
          <w:marRight w:val="0"/>
          <w:marTop w:val="0"/>
          <w:marBottom w:val="0"/>
          <w:divBdr>
            <w:top w:val="none" w:sz="0" w:space="0" w:color="auto"/>
            <w:left w:val="none" w:sz="0" w:space="0" w:color="auto"/>
            <w:bottom w:val="none" w:sz="0" w:space="0" w:color="auto"/>
            <w:right w:val="none" w:sz="0" w:space="0" w:color="auto"/>
          </w:divBdr>
        </w:div>
        <w:div w:id="2022122631">
          <w:marLeft w:val="0"/>
          <w:marRight w:val="0"/>
          <w:marTop w:val="100"/>
          <w:marBottom w:val="100"/>
          <w:divBdr>
            <w:top w:val="none" w:sz="0" w:space="0" w:color="auto"/>
            <w:left w:val="none" w:sz="0" w:space="0" w:color="auto"/>
            <w:bottom w:val="none" w:sz="0" w:space="0" w:color="auto"/>
            <w:right w:val="none" w:sz="0" w:space="0" w:color="auto"/>
          </w:divBdr>
        </w:div>
        <w:div w:id="1693796004">
          <w:marLeft w:val="0"/>
          <w:marRight w:val="0"/>
          <w:marTop w:val="100"/>
          <w:marBottom w:val="100"/>
          <w:divBdr>
            <w:top w:val="none" w:sz="0" w:space="0" w:color="auto"/>
            <w:left w:val="none" w:sz="0" w:space="0" w:color="auto"/>
            <w:bottom w:val="none" w:sz="0" w:space="0" w:color="auto"/>
            <w:right w:val="none" w:sz="0" w:space="0" w:color="auto"/>
          </w:divBdr>
        </w:div>
        <w:div w:id="532159215">
          <w:marLeft w:val="0"/>
          <w:marRight w:val="0"/>
          <w:marTop w:val="100"/>
          <w:marBottom w:val="100"/>
          <w:divBdr>
            <w:top w:val="none" w:sz="0" w:space="0" w:color="auto"/>
            <w:left w:val="none" w:sz="0" w:space="0" w:color="auto"/>
            <w:bottom w:val="none" w:sz="0" w:space="0" w:color="auto"/>
            <w:right w:val="none" w:sz="0" w:space="0" w:color="auto"/>
          </w:divBdr>
        </w:div>
        <w:div w:id="1226913988">
          <w:marLeft w:val="0"/>
          <w:marRight w:val="0"/>
          <w:marTop w:val="100"/>
          <w:marBottom w:val="100"/>
          <w:divBdr>
            <w:top w:val="none" w:sz="0" w:space="0" w:color="auto"/>
            <w:left w:val="none" w:sz="0" w:space="0" w:color="auto"/>
            <w:bottom w:val="none" w:sz="0" w:space="0" w:color="auto"/>
            <w:right w:val="none" w:sz="0" w:space="0" w:color="auto"/>
          </w:divBdr>
        </w:div>
        <w:div w:id="1625572612">
          <w:marLeft w:val="0"/>
          <w:marRight w:val="0"/>
          <w:marTop w:val="100"/>
          <w:marBottom w:val="100"/>
          <w:divBdr>
            <w:top w:val="none" w:sz="0" w:space="0" w:color="auto"/>
            <w:left w:val="none" w:sz="0" w:space="0" w:color="auto"/>
            <w:bottom w:val="none" w:sz="0" w:space="0" w:color="auto"/>
            <w:right w:val="none" w:sz="0" w:space="0" w:color="auto"/>
          </w:divBdr>
        </w:div>
        <w:div w:id="1428307864">
          <w:marLeft w:val="0"/>
          <w:marRight w:val="0"/>
          <w:marTop w:val="100"/>
          <w:marBottom w:val="100"/>
          <w:divBdr>
            <w:top w:val="none" w:sz="0" w:space="0" w:color="auto"/>
            <w:left w:val="none" w:sz="0" w:space="0" w:color="auto"/>
            <w:bottom w:val="none" w:sz="0" w:space="0" w:color="auto"/>
            <w:right w:val="none" w:sz="0" w:space="0" w:color="auto"/>
          </w:divBdr>
        </w:div>
        <w:div w:id="1229145404">
          <w:marLeft w:val="0"/>
          <w:marRight w:val="0"/>
          <w:marTop w:val="0"/>
          <w:marBottom w:val="0"/>
          <w:divBdr>
            <w:top w:val="none" w:sz="0" w:space="0" w:color="auto"/>
            <w:left w:val="none" w:sz="0" w:space="0" w:color="auto"/>
            <w:bottom w:val="none" w:sz="0" w:space="0" w:color="auto"/>
            <w:right w:val="none" w:sz="0" w:space="0" w:color="auto"/>
          </w:divBdr>
        </w:div>
        <w:div w:id="5151937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1605</Words>
  <Characters>8829</Characters>
  <Application>Microsoft Office Word</Application>
  <DocSecurity>0</DocSecurity>
  <Lines>73</Lines>
  <Paragraphs>20</Paragraphs>
  <ScaleCrop>false</ScaleCrop>
  <Company/>
  <LinksUpToDate>false</LinksUpToDate>
  <CharactersWithSpaces>10414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ency-education.com</dc:creator>
  <cp:lastModifiedBy>Dell</cp:lastModifiedBy>
  <cp:revision>1</cp:revision>
  <dcterms:created xsi:type="dcterms:W3CDTF">2012-07-26T13:26:00Z</dcterms:created>
  <dcterms:modified xsi:type="dcterms:W3CDTF">2012-07-26T13:27:00Z</dcterms:modified>
</cp:coreProperties>
</file>