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91" w:rsidRPr="00DC63C4" w:rsidRDefault="00A85DE9" w:rsidP="00DC63C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 xml:space="preserve">INTOXICATION AU MERCURE = HYDRARGYRISME  </w:t>
      </w:r>
      <w:r w:rsidR="00365891" w:rsidRPr="00DC63C4">
        <w:rPr>
          <w:rFonts w:asciiTheme="minorHAnsi" w:hAnsiTheme="minorHAnsi"/>
          <w:b/>
          <w:color w:val="FF0000"/>
          <w:sz w:val="22"/>
          <w:szCs w:val="22"/>
        </w:rPr>
        <w:t>Tableau N°02</w:t>
      </w:r>
    </w:p>
    <w:p w:rsidR="00365891" w:rsidRPr="00DC63C4" w:rsidRDefault="00365891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5891" w:rsidRPr="00DC63C4" w:rsidRDefault="00365891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intoxication par le mercure ses sels minéraux et ses dérivés organiques (utilisé en agriculture)</w:t>
      </w:r>
    </w:p>
    <w:p w:rsidR="00365891" w:rsidRPr="00DC63C4" w:rsidRDefault="00365891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le seul métal liquide à T° ambiante, émet des vapeurs toxiques à 20°c, son principal minerai est le cinabre </w:t>
      </w:r>
    </w:p>
    <w:p w:rsidR="00365891" w:rsidRPr="00DC63C4" w:rsidRDefault="00365891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365891" w:rsidRPr="00DC63C4" w:rsidRDefault="00365891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>Professions exposées :</w:t>
      </w:r>
    </w:p>
    <w:p w:rsidR="00934FFF" w:rsidRPr="00DC63C4" w:rsidRDefault="00934FFF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5891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extraction et traitement de minerais de mercures (</w:t>
      </w:r>
      <w:r w:rsidRPr="00DC63C4">
        <w:rPr>
          <w:rFonts w:asciiTheme="minorHAnsi" w:hAnsiTheme="minorHAnsi"/>
          <w:sz w:val="22"/>
          <w:szCs w:val="22"/>
          <w:highlight w:val="yellow"/>
        </w:rPr>
        <w:t>usine d’Azzaba)</w:t>
      </w:r>
    </w:p>
    <w:p w:rsidR="005A6836" w:rsidRPr="00DC63C4" w:rsidRDefault="005A6836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industrie électrique : fabrication de lampe à vapeur d’Hg, accumulateur, pille électriques, interrupteurs</w:t>
      </w:r>
    </w:p>
    <w:p w:rsidR="00365891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fabrication de thermomètres</w:t>
      </w:r>
      <w:r w:rsidR="001324EF">
        <w:rPr>
          <w:rFonts w:asciiTheme="minorHAnsi" w:hAnsiTheme="minorHAnsi"/>
          <w:sz w:val="22"/>
          <w:szCs w:val="22"/>
        </w:rPr>
        <w:t> </w:t>
      </w:r>
    </w:p>
    <w:p w:rsidR="00365891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industrie pharmaceutique</w:t>
      </w:r>
      <w:r w:rsidR="005A6836" w:rsidRPr="00DC63C4">
        <w:rPr>
          <w:rFonts w:asciiTheme="minorHAnsi" w:hAnsiTheme="minorHAnsi"/>
          <w:sz w:val="22"/>
          <w:szCs w:val="22"/>
        </w:rPr>
        <w:t xml:space="preserve"> : antiseptiques, antisyphilitiques </w:t>
      </w:r>
    </w:p>
    <w:p w:rsidR="005A6836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dentisterie</w:t>
      </w:r>
      <w:r w:rsidR="005A6836" w:rsidRPr="00DC63C4">
        <w:rPr>
          <w:rFonts w:asciiTheme="minorHAnsi" w:hAnsiTheme="minorHAnsi"/>
          <w:sz w:val="22"/>
          <w:szCs w:val="22"/>
        </w:rPr>
        <w:t> : amalgame avec l’or et argent  </w:t>
      </w:r>
    </w:p>
    <w:p w:rsidR="00365891" w:rsidRPr="00DC63C4" w:rsidRDefault="005A6836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tannerie, taxidermie  </w:t>
      </w:r>
    </w:p>
    <w:p w:rsidR="00365891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organo-mercuriels en agriculture</w:t>
      </w:r>
      <w:r w:rsidR="005A6836" w:rsidRPr="00DC63C4">
        <w:rPr>
          <w:rFonts w:asciiTheme="minorHAnsi" w:hAnsiTheme="minorHAnsi"/>
          <w:sz w:val="22"/>
          <w:szCs w:val="22"/>
        </w:rPr>
        <w:t xml:space="preserve"> : fongicide, bactéricide, insecticide </w:t>
      </w:r>
    </w:p>
    <w:p w:rsidR="00365891" w:rsidRPr="00DC63C4" w:rsidRDefault="00365891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industrie chimique </w:t>
      </w:r>
      <w:r w:rsidR="005A6836" w:rsidRPr="00DC63C4">
        <w:rPr>
          <w:rFonts w:asciiTheme="minorHAnsi" w:hAnsiTheme="minorHAnsi"/>
          <w:sz w:val="22"/>
          <w:szCs w:val="22"/>
        </w:rPr>
        <w:t xml:space="preserve">: peinture, teinture, colle, poudre détonante </w:t>
      </w:r>
    </w:p>
    <w:p w:rsidR="00365891" w:rsidRPr="00DC63C4" w:rsidRDefault="00365891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5891" w:rsidRPr="00DC63C4" w:rsidRDefault="00365891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="005A6836" w:rsidRPr="00DC63C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5A6836" w:rsidRPr="00DC63C4" w:rsidRDefault="005A6836" w:rsidP="00DC63C4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5A6836" w:rsidRPr="00DC63C4" w:rsidRDefault="005A6836" w:rsidP="00DC63C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C63C4">
        <w:rPr>
          <w:rFonts w:asciiTheme="minorHAnsi" w:hAnsiTheme="minorHAnsi"/>
          <w:b/>
          <w:color w:val="333399"/>
          <w:sz w:val="22"/>
          <w:szCs w:val="22"/>
        </w:rPr>
        <w:t>intoxication aigue :</w:t>
      </w:r>
    </w:p>
    <w:p w:rsidR="005A6836" w:rsidRPr="00DC63C4" w:rsidRDefault="005A6836" w:rsidP="00DC63C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6836" w:rsidRPr="006443CA" w:rsidRDefault="005A6836" w:rsidP="00DC63C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double"/>
        </w:rPr>
      </w:pPr>
      <w:r w:rsidRPr="006443CA">
        <w:rPr>
          <w:rFonts w:asciiTheme="minorHAnsi" w:hAnsiTheme="minorHAnsi"/>
          <w:b/>
          <w:sz w:val="22"/>
          <w:szCs w:val="22"/>
          <w:u w:val="double"/>
        </w:rPr>
        <w:t>en cas d’inhalation :</w:t>
      </w:r>
    </w:p>
    <w:p w:rsidR="005A6836" w:rsidRPr="006443CA" w:rsidRDefault="005A6836" w:rsidP="006443CA">
      <w:pPr>
        <w:pStyle w:val="Paragraphedeliste"/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443CA">
        <w:rPr>
          <w:rFonts w:asciiTheme="minorHAnsi" w:hAnsiTheme="minorHAnsi"/>
          <w:b/>
          <w:sz w:val="22"/>
          <w:szCs w:val="22"/>
        </w:rPr>
        <w:t>pneumonie chimique</w:t>
      </w:r>
      <w:r w:rsidRPr="006443CA">
        <w:rPr>
          <w:rFonts w:asciiTheme="minorHAnsi" w:hAnsiTheme="minorHAnsi"/>
          <w:sz w:val="22"/>
          <w:szCs w:val="22"/>
        </w:rPr>
        <w:t> : avec frisson, fièvre, toux, dyspnée et douleur thoracique conduisant à l’OAP</w:t>
      </w:r>
      <w:r w:rsidR="003010A6" w:rsidRPr="006443CA">
        <w:rPr>
          <w:rFonts w:asciiTheme="minorHAnsi" w:hAnsiTheme="minorHAnsi"/>
          <w:sz w:val="22"/>
          <w:szCs w:val="22"/>
        </w:rPr>
        <w:t xml:space="preserve"> laissant des séquelles à vie </w:t>
      </w:r>
    </w:p>
    <w:p w:rsidR="003010A6" w:rsidRPr="006443CA" w:rsidRDefault="003010A6" w:rsidP="006443CA">
      <w:pPr>
        <w:pStyle w:val="Paragraphedeliste"/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443CA">
        <w:rPr>
          <w:rFonts w:asciiTheme="minorHAnsi" w:hAnsiTheme="minorHAnsi"/>
          <w:sz w:val="22"/>
          <w:szCs w:val="22"/>
        </w:rPr>
        <w:t>l’atteinte respiratoire peut s’accompagner de tr</w:t>
      </w:r>
      <w:r w:rsidR="00AF3C58" w:rsidRPr="006443CA">
        <w:rPr>
          <w:rFonts w:asciiTheme="minorHAnsi" w:hAnsiTheme="minorHAnsi"/>
          <w:sz w:val="22"/>
          <w:szCs w:val="22"/>
        </w:rPr>
        <w:t>o</w:t>
      </w:r>
      <w:r w:rsidRPr="006443CA">
        <w:rPr>
          <w:rFonts w:asciiTheme="minorHAnsi" w:hAnsiTheme="minorHAnsi"/>
          <w:sz w:val="22"/>
          <w:szCs w:val="22"/>
        </w:rPr>
        <w:t>ubles digestifs, rénaux voir encéphalitiques (coma, convulsion)</w:t>
      </w:r>
    </w:p>
    <w:p w:rsidR="005A6836" w:rsidRPr="00DC63C4" w:rsidRDefault="003010A6" w:rsidP="00DC63C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   </w:t>
      </w:r>
      <w:r w:rsidR="005A6836" w:rsidRPr="00DC63C4">
        <w:rPr>
          <w:rFonts w:asciiTheme="minorHAnsi" w:hAnsiTheme="minorHAnsi"/>
          <w:sz w:val="22"/>
          <w:szCs w:val="22"/>
        </w:rPr>
        <w:t xml:space="preserve"> </w:t>
      </w:r>
    </w:p>
    <w:p w:rsidR="005A6836" w:rsidRPr="006443CA" w:rsidRDefault="005A6836" w:rsidP="00DC63C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double"/>
        </w:rPr>
      </w:pPr>
      <w:r w:rsidRPr="006443CA">
        <w:rPr>
          <w:rFonts w:asciiTheme="minorHAnsi" w:hAnsiTheme="minorHAnsi"/>
          <w:b/>
          <w:sz w:val="22"/>
          <w:szCs w:val="22"/>
          <w:u w:val="double"/>
        </w:rPr>
        <w:t>en cas d’ingestion :</w:t>
      </w:r>
    </w:p>
    <w:p w:rsidR="005A6836" w:rsidRPr="00DC63C4" w:rsidRDefault="003010A6" w:rsidP="006443CA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troubles digestif</w:t>
      </w:r>
      <w:r w:rsidRPr="00DC63C4">
        <w:rPr>
          <w:rFonts w:asciiTheme="minorHAnsi" w:hAnsiTheme="minorHAnsi"/>
          <w:sz w:val="22"/>
          <w:szCs w:val="22"/>
        </w:rPr>
        <w:t xml:space="preserve"> : diarrhée / vomissements séro-sanglants / hyper-salivation / stomatite ulcéro-membraneuse </w:t>
      </w:r>
    </w:p>
    <w:p w:rsidR="003010A6" w:rsidRPr="00DC63C4" w:rsidRDefault="003010A6" w:rsidP="006443CA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trouble pulmonaire</w:t>
      </w:r>
      <w:r w:rsidRPr="00DC63C4">
        <w:rPr>
          <w:rFonts w:asciiTheme="minorHAnsi" w:hAnsiTheme="minorHAnsi"/>
          <w:sz w:val="22"/>
          <w:szCs w:val="22"/>
        </w:rPr>
        <w:t> : inhalation associée</w:t>
      </w:r>
    </w:p>
    <w:p w:rsidR="003010A6" w:rsidRPr="00DC63C4" w:rsidRDefault="003010A6" w:rsidP="006443CA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atteinte rénale</w:t>
      </w:r>
      <w:r w:rsidRPr="00DC63C4">
        <w:rPr>
          <w:rFonts w:asciiTheme="minorHAnsi" w:hAnsiTheme="minorHAnsi"/>
          <w:sz w:val="22"/>
          <w:szCs w:val="22"/>
        </w:rPr>
        <w:t xml:space="preserve"> : tubulo-néphrite anurique </w:t>
      </w:r>
    </w:p>
    <w:p w:rsidR="003010A6" w:rsidRPr="00DC63C4" w:rsidRDefault="003010A6" w:rsidP="006443CA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état de choc</w:t>
      </w:r>
      <w:r w:rsidRPr="00DC63C4">
        <w:rPr>
          <w:rFonts w:asciiTheme="minorHAnsi" w:hAnsiTheme="minorHAnsi"/>
          <w:sz w:val="22"/>
          <w:szCs w:val="22"/>
        </w:rPr>
        <w:t xml:space="preserve"> : lié aux troubles digestifs </w:t>
      </w:r>
    </w:p>
    <w:p w:rsidR="005A6836" w:rsidRPr="006443CA" w:rsidRDefault="003010A6" w:rsidP="006443CA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en absence de TRT la mort survient en 24h par état de choc ou trouble respiratoire, en 15 jrs par IR</w:t>
      </w:r>
    </w:p>
    <w:p w:rsidR="005A6836" w:rsidRPr="00DC63C4" w:rsidRDefault="005A6836" w:rsidP="00DC63C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C63C4">
        <w:rPr>
          <w:rFonts w:asciiTheme="minorHAnsi" w:hAnsiTheme="minorHAnsi"/>
          <w:b/>
          <w:color w:val="333399"/>
          <w:sz w:val="22"/>
          <w:szCs w:val="22"/>
        </w:rPr>
        <w:t xml:space="preserve">intoxication chronique </w:t>
      </w:r>
    </w:p>
    <w:p w:rsidR="00365891" w:rsidRPr="00DC63C4" w:rsidRDefault="00365891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010A6" w:rsidRPr="00DC63C4" w:rsidRDefault="003010A6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forme la plus caractéristiques de </w:t>
      </w:r>
      <w:proofErr w:type="gramStart"/>
      <w:r w:rsidRPr="00DC63C4">
        <w:rPr>
          <w:rFonts w:asciiTheme="minorHAnsi" w:hAnsiTheme="minorHAnsi"/>
          <w:sz w:val="22"/>
          <w:szCs w:val="22"/>
        </w:rPr>
        <w:t>l’hydrargyrisme professionnel associant troubles nerveux et digestifs</w:t>
      </w:r>
      <w:proofErr w:type="gramEnd"/>
    </w:p>
    <w:p w:rsidR="003010A6" w:rsidRPr="00DC63C4" w:rsidRDefault="003010A6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troubles nerveux</w:t>
      </w:r>
      <w:r w:rsidRPr="00DC63C4">
        <w:rPr>
          <w:rFonts w:asciiTheme="minorHAnsi" w:hAnsiTheme="minorHAnsi"/>
          <w:sz w:val="22"/>
          <w:szCs w:val="22"/>
        </w:rPr>
        <w:t> : par atteinte du système nerveux central</w:t>
      </w:r>
      <w:r w:rsidR="007453F1" w:rsidRPr="00DC63C4">
        <w:rPr>
          <w:rFonts w:asciiTheme="minorHAnsi" w:hAnsiTheme="minorHAnsi"/>
          <w:sz w:val="22"/>
          <w:szCs w:val="22"/>
        </w:rPr>
        <w:t xml:space="preserve"> (Nazim : Sd cérébelleux)</w:t>
      </w:r>
    </w:p>
    <w:p w:rsidR="007453F1" w:rsidRPr="00DC63C4" w:rsidRDefault="003010A6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tremblement intensionnel</w:t>
      </w:r>
      <w:r w:rsidR="007453F1" w:rsidRPr="00DC63C4">
        <w:rPr>
          <w:rFonts w:asciiTheme="minorHAnsi" w:hAnsiTheme="minorHAnsi"/>
          <w:sz w:val="22"/>
          <w:szCs w:val="22"/>
        </w:rPr>
        <w:t> :</w:t>
      </w:r>
    </w:p>
    <w:p w:rsidR="003010A6" w:rsidRPr="00DC63C4" w:rsidRDefault="007453F1" w:rsidP="00DC63C4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 signe majeur, aggravé par l’alcool, l’émotion et la fatigue </w:t>
      </w:r>
    </w:p>
    <w:p w:rsidR="007453F1" w:rsidRPr="00DC63C4" w:rsidRDefault="007453F1" w:rsidP="00DC63C4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Fin tremblements des extrémités et commissures labiales aggravés par les mouvements précis </w:t>
      </w:r>
    </w:p>
    <w:p w:rsidR="007453F1" w:rsidRPr="00DC63C4" w:rsidRDefault="007453F1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A</w:t>
      </w:r>
      <w:r w:rsidR="003010A6" w:rsidRPr="00DC63C4">
        <w:rPr>
          <w:rFonts w:asciiTheme="minorHAnsi" w:hAnsiTheme="minorHAnsi"/>
          <w:sz w:val="22"/>
          <w:szCs w:val="22"/>
        </w:rPr>
        <w:t>diadoc</w:t>
      </w:r>
      <w:r w:rsidRPr="00DC63C4">
        <w:rPr>
          <w:rFonts w:asciiTheme="minorHAnsi" w:hAnsiTheme="minorHAnsi"/>
          <w:sz w:val="22"/>
          <w:szCs w:val="22"/>
        </w:rPr>
        <w:t>ociné</w:t>
      </w:r>
      <w:r w:rsidR="003010A6" w:rsidRPr="00DC63C4">
        <w:rPr>
          <w:rFonts w:asciiTheme="minorHAnsi" w:hAnsiTheme="minorHAnsi"/>
          <w:sz w:val="22"/>
          <w:szCs w:val="22"/>
        </w:rPr>
        <w:t>sie</w:t>
      </w:r>
      <w:r w:rsidRPr="00DC63C4">
        <w:rPr>
          <w:rFonts w:asciiTheme="minorHAnsi" w:hAnsiTheme="minorHAnsi"/>
          <w:sz w:val="22"/>
          <w:szCs w:val="22"/>
        </w:rPr>
        <w:t>, démarche cérébelleuse, nystagmus</w:t>
      </w:r>
      <w:r w:rsidR="00F31A39" w:rsidRPr="00DC63C4">
        <w:rPr>
          <w:rFonts w:asciiTheme="minorHAnsi" w:hAnsiTheme="minorHAnsi"/>
          <w:sz w:val="22"/>
          <w:szCs w:val="22"/>
        </w:rPr>
        <w:t xml:space="preserve">, </w:t>
      </w:r>
    </w:p>
    <w:p w:rsidR="003010A6" w:rsidRPr="00DC63C4" w:rsidRDefault="007453F1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C63C4">
        <w:rPr>
          <w:rFonts w:asciiTheme="minorHAnsi" w:hAnsiTheme="minorHAnsi"/>
          <w:sz w:val="22"/>
          <w:szCs w:val="22"/>
        </w:rPr>
        <w:t>myoclonie</w:t>
      </w:r>
      <w:proofErr w:type="spellEnd"/>
      <w:r w:rsidRPr="00DC63C4">
        <w:rPr>
          <w:rFonts w:asciiTheme="minorHAnsi" w:hAnsiTheme="minorHAnsi"/>
          <w:sz w:val="22"/>
          <w:szCs w:val="22"/>
        </w:rPr>
        <w:t xml:space="preserve"> et contracture douloureuse </w:t>
      </w:r>
      <w:r w:rsidR="003010A6" w:rsidRPr="00DC63C4">
        <w:rPr>
          <w:rFonts w:asciiTheme="minorHAnsi" w:hAnsiTheme="minorHAnsi"/>
          <w:sz w:val="22"/>
          <w:szCs w:val="22"/>
        </w:rPr>
        <w:t xml:space="preserve"> </w:t>
      </w:r>
    </w:p>
    <w:p w:rsidR="003010A6" w:rsidRPr="00DC63C4" w:rsidRDefault="003010A6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 xml:space="preserve">troubles digestifs : </w:t>
      </w:r>
    </w:p>
    <w:p w:rsidR="009F6EFC" w:rsidRPr="00DC63C4" w:rsidRDefault="009F6EFC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  <w:highlight w:val="yellow"/>
        </w:rPr>
        <w:t>stomatite mercurielle</w:t>
      </w:r>
      <w:r w:rsidRPr="00DC63C4">
        <w:rPr>
          <w:rFonts w:asciiTheme="minorHAnsi" w:hAnsiTheme="minorHAnsi"/>
          <w:sz w:val="22"/>
          <w:szCs w:val="22"/>
        </w:rPr>
        <w:t> : avec poussées aigue</w:t>
      </w:r>
    </w:p>
    <w:p w:rsidR="007453F1" w:rsidRPr="00DC63C4" w:rsidRDefault="009F6EFC" w:rsidP="00DC63C4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hypersialorrhée </w:t>
      </w:r>
    </w:p>
    <w:p w:rsidR="009F6EFC" w:rsidRPr="00DC63C4" w:rsidRDefault="000F0472" w:rsidP="00DC63C4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oreillons mercuriels : hypertrophie des glande</w:t>
      </w:r>
      <w:r w:rsidR="00F31A39" w:rsidRPr="00DC63C4">
        <w:rPr>
          <w:rFonts w:asciiTheme="minorHAnsi" w:hAnsiTheme="minorHAnsi"/>
          <w:sz w:val="22"/>
          <w:szCs w:val="22"/>
        </w:rPr>
        <w:t>s</w:t>
      </w:r>
      <w:r w:rsidRPr="00DC63C4">
        <w:rPr>
          <w:rFonts w:asciiTheme="minorHAnsi" w:hAnsiTheme="minorHAnsi"/>
          <w:sz w:val="22"/>
          <w:szCs w:val="22"/>
        </w:rPr>
        <w:t xml:space="preserve"> salivaires </w:t>
      </w:r>
    </w:p>
    <w:p w:rsidR="007453F1" w:rsidRPr="00DC63C4" w:rsidRDefault="007453F1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lastRenderedPageBreak/>
        <w:t>gingivite avec ulcération</w:t>
      </w:r>
      <w:r w:rsidR="00F31A39" w:rsidRPr="00DC63C4">
        <w:rPr>
          <w:rFonts w:asciiTheme="minorHAnsi" w:hAnsiTheme="minorHAnsi"/>
          <w:sz w:val="22"/>
          <w:szCs w:val="22"/>
        </w:rPr>
        <w:t xml:space="preserve">, ulcération dentaire </w:t>
      </w:r>
    </w:p>
    <w:p w:rsidR="007453F1" w:rsidRPr="00DC63C4" w:rsidRDefault="007453F1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aspect argenté de la langue + liseré gingival mercuriel </w:t>
      </w:r>
    </w:p>
    <w:p w:rsidR="007453F1" w:rsidRPr="00DC63C4" w:rsidRDefault="007453F1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anorexie, nausées, vomissements, diarrhée simple ou dysentériforme </w:t>
      </w:r>
    </w:p>
    <w:p w:rsidR="003010A6" w:rsidRPr="00DC63C4" w:rsidRDefault="003010A6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 xml:space="preserve">autres troubles : </w:t>
      </w:r>
    </w:p>
    <w:p w:rsidR="000F0472" w:rsidRPr="00DC63C4" w:rsidRDefault="000F0472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  <w:u w:val="single"/>
        </w:rPr>
        <w:t>atteinte des conjonctives :</w:t>
      </w:r>
      <w:r w:rsidRPr="00DC63C4">
        <w:rPr>
          <w:rFonts w:asciiTheme="minorHAnsi" w:hAnsiTheme="minorHAnsi"/>
          <w:sz w:val="22"/>
          <w:szCs w:val="22"/>
        </w:rPr>
        <w:t xml:space="preserve"> rhinite, conjonctivite, altération unguéale </w:t>
      </w:r>
    </w:p>
    <w:p w:rsidR="000F0472" w:rsidRPr="00DC63C4" w:rsidRDefault="000F0472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  <w:u w:val="single"/>
        </w:rPr>
        <w:t>atteinte visuelle</w:t>
      </w:r>
      <w:r w:rsidRPr="00DC63C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DC63C4">
        <w:rPr>
          <w:rFonts w:asciiTheme="minorHAnsi" w:hAnsiTheme="minorHAnsi"/>
          <w:sz w:val="22"/>
          <w:szCs w:val="22"/>
          <w:highlight w:val="yellow"/>
        </w:rPr>
        <w:t>mercurialentis</w:t>
      </w:r>
      <w:proofErr w:type="spellEnd"/>
      <w:r w:rsidRPr="00DC63C4">
        <w:rPr>
          <w:rFonts w:asciiTheme="minorHAnsi" w:hAnsiTheme="minorHAnsi"/>
          <w:sz w:val="22"/>
          <w:szCs w:val="22"/>
        </w:rPr>
        <w:t xml:space="preserve"> = reflet brunâtre an niveau de la capsule antérieur du cristallin sans atteinte visuelle (intérêt diagnostic)</w:t>
      </w:r>
    </w:p>
    <w:p w:rsidR="00F31A39" w:rsidRPr="00DC63C4" w:rsidRDefault="00F31A39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  <w:u w:val="single"/>
        </w:rPr>
        <w:t>troubles du caractère et de la personnalité</w:t>
      </w:r>
      <w:r w:rsidRPr="00DC63C4">
        <w:rPr>
          <w:rFonts w:asciiTheme="minorHAnsi" w:hAnsiTheme="minorHAnsi"/>
          <w:sz w:val="22"/>
          <w:szCs w:val="22"/>
        </w:rPr>
        <w:t xml:space="preserve"> (irritation, amnésie, dépression, insomnie, hallucination...) </w:t>
      </w:r>
    </w:p>
    <w:p w:rsidR="000F0472" w:rsidRPr="00DC63C4" w:rsidRDefault="000F0472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  <w:u w:val="single"/>
        </w:rPr>
        <w:t>néphrite </w:t>
      </w:r>
      <w:r w:rsidRPr="00DC63C4">
        <w:rPr>
          <w:rFonts w:asciiTheme="minorHAnsi" w:hAnsiTheme="minorHAnsi"/>
          <w:sz w:val="22"/>
          <w:szCs w:val="22"/>
        </w:rPr>
        <w:t xml:space="preserve">: rare se manifeste par une légère protéinurie </w:t>
      </w:r>
    </w:p>
    <w:p w:rsidR="000F0472" w:rsidRPr="00DC63C4" w:rsidRDefault="000F0472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5891" w:rsidRPr="00DC63C4" w:rsidRDefault="00365891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>Dc positif</w:t>
      </w:r>
      <w:r w:rsidR="000F0472" w:rsidRPr="00DC63C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F0472" w:rsidRPr="00DC63C4" w:rsidRDefault="000F0472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0472" w:rsidRPr="00DC63C4" w:rsidRDefault="000F0472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notion d’exposition + signes cliniques + </w:t>
      </w:r>
    </w:p>
    <w:p w:rsidR="000F0472" w:rsidRPr="00DC63C4" w:rsidRDefault="00F31A39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signes biologiques : </w:t>
      </w:r>
      <w:r w:rsidR="000F0472" w:rsidRPr="00DC63C4">
        <w:rPr>
          <w:rFonts w:asciiTheme="minorHAnsi" w:hAnsiTheme="minorHAnsi"/>
          <w:sz w:val="22"/>
          <w:szCs w:val="22"/>
        </w:rPr>
        <w:t>dosage du mercure urinaire ≥ 5</w:t>
      </w:r>
      <w:r w:rsidRPr="00DC63C4">
        <w:rPr>
          <w:rFonts w:asciiTheme="minorHAnsi" w:hAnsiTheme="minorHAnsi"/>
          <w:sz w:val="22"/>
          <w:szCs w:val="22"/>
        </w:rPr>
        <w:t>0</w:t>
      </w:r>
      <w:r w:rsidR="000F0472" w:rsidRPr="00DC63C4">
        <w:rPr>
          <w:rFonts w:asciiTheme="minorHAnsi" w:hAnsiTheme="minorHAnsi"/>
          <w:sz w:val="22"/>
          <w:szCs w:val="22"/>
        </w:rPr>
        <w:t>µg/l, manifestation clinique</w:t>
      </w:r>
      <w:r w:rsidRPr="00DC63C4">
        <w:rPr>
          <w:rFonts w:asciiTheme="minorHAnsi" w:hAnsiTheme="minorHAnsi"/>
          <w:sz w:val="22"/>
          <w:szCs w:val="22"/>
        </w:rPr>
        <w:t xml:space="preserve"> (empoisonnement) si</w:t>
      </w:r>
      <w:r w:rsidR="000F0472" w:rsidRPr="00DC63C4">
        <w:rPr>
          <w:rFonts w:asciiTheme="minorHAnsi" w:hAnsiTheme="minorHAnsi"/>
          <w:sz w:val="22"/>
          <w:szCs w:val="22"/>
        </w:rPr>
        <w:t xml:space="preserve"> Hg u ≥ 300µg </w:t>
      </w:r>
    </w:p>
    <w:p w:rsidR="00365891" w:rsidRPr="00DC63C4" w:rsidRDefault="00365891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65891" w:rsidRPr="00DC63C4" w:rsidRDefault="00365891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0F0472" w:rsidRPr="00DC63C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F0472" w:rsidRPr="00DC63C4" w:rsidRDefault="000F0472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1A39" w:rsidRPr="00DC63C4" w:rsidRDefault="000F0472" w:rsidP="00DC63C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63C4">
        <w:rPr>
          <w:rFonts w:asciiTheme="minorHAnsi" w:hAnsiTheme="minorHAnsi"/>
          <w:b/>
          <w:color w:val="000080"/>
          <w:sz w:val="22"/>
          <w:szCs w:val="22"/>
        </w:rPr>
        <w:t>intoxication aigue :</w:t>
      </w:r>
    </w:p>
    <w:p w:rsidR="000F0472" w:rsidRPr="00DC63C4" w:rsidRDefault="000F0472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en cas d’ingestion</w:t>
      </w:r>
      <w:r w:rsidRPr="00DC63C4">
        <w:rPr>
          <w:rFonts w:asciiTheme="minorHAnsi" w:hAnsiTheme="minorHAnsi"/>
          <w:sz w:val="22"/>
          <w:szCs w:val="22"/>
        </w:rPr>
        <w:t xml:space="preserve"> : lavage de l’estomac à l’eau albumineuse bicarbonatée </w:t>
      </w:r>
    </w:p>
    <w:p w:rsidR="000F0472" w:rsidRPr="00DC63C4" w:rsidRDefault="000F0472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traité la douleur, l’</w:t>
      </w:r>
      <w:r w:rsidR="00F31A39" w:rsidRPr="00DC63C4">
        <w:rPr>
          <w:rFonts w:asciiTheme="minorHAnsi" w:hAnsiTheme="minorHAnsi"/>
          <w:sz w:val="22"/>
          <w:szCs w:val="22"/>
        </w:rPr>
        <w:t>agitation,</w:t>
      </w:r>
      <w:r w:rsidRPr="00DC63C4">
        <w:rPr>
          <w:rFonts w:asciiTheme="minorHAnsi" w:hAnsiTheme="minorHAnsi"/>
          <w:sz w:val="22"/>
          <w:szCs w:val="22"/>
        </w:rPr>
        <w:t xml:space="preserve"> la DHA </w:t>
      </w:r>
      <w:r w:rsidR="00F31A39" w:rsidRPr="00DC63C4">
        <w:rPr>
          <w:rFonts w:asciiTheme="minorHAnsi" w:hAnsiTheme="minorHAnsi"/>
          <w:sz w:val="22"/>
          <w:szCs w:val="22"/>
        </w:rPr>
        <w:t xml:space="preserve">et l’OAP </w:t>
      </w:r>
    </w:p>
    <w:p w:rsidR="000F0472" w:rsidRPr="00DC63C4" w:rsidRDefault="00F31A39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b/>
          <w:sz w:val="22"/>
          <w:szCs w:val="22"/>
        </w:rPr>
        <w:t>TRT détoxiquant</w:t>
      </w:r>
      <w:r w:rsidRPr="00DC63C4">
        <w:rPr>
          <w:rFonts w:asciiTheme="minorHAnsi" w:hAnsiTheme="minorHAnsi"/>
          <w:sz w:val="22"/>
          <w:szCs w:val="22"/>
        </w:rPr>
        <w:t> : avant la 6</w:t>
      </w:r>
      <w:r w:rsidRPr="00DC63C4">
        <w:rPr>
          <w:rFonts w:asciiTheme="minorHAnsi" w:hAnsiTheme="minorHAnsi"/>
          <w:sz w:val="22"/>
          <w:szCs w:val="22"/>
          <w:vertAlign w:val="superscript"/>
        </w:rPr>
        <w:t>ème</w:t>
      </w:r>
      <w:r w:rsidRPr="00DC63C4">
        <w:rPr>
          <w:rFonts w:asciiTheme="minorHAnsi" w:hAnsiTheme="minorHAnsi"/>
          <w:sz w:val="22"/>
          <w:szCs w:val="22"/>
        </w:rPr>
        <w:t xml:space="preserve"> heure pour éviter l’anurie </w:t>
      </w:r>
    </w:p>
    <w:p w:rsidR="00F31A39" w:rsidRPr="00DC63C4" w:rsidRDefault="000442A0" w:rsidP="00DC63C4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Chélateurs : </w:t>
      </w:r>
      <w:r w:rsidR="00F31A39" w:rsidRPr="00DC63C4">
        <w:rPr>
          <w:rFonts w:asciiTheme="minorHAnsi" w:hAnsiTheme="minorHAnsi"/>
          <w:sz w:val="22"/>
          <w:szCs w:val="22"/>
        </w:rPr>
        <w:t>BAL en IM</w:t>
      </w:r>
      <w:r w:rsidRPr="00DC63C4">
        <w:rPr>
          <w:rFonts w:asciiTheme="minorHAnsi" w:hAnsiTheme="minorHAnsi"/>
          <w:sz w:val="22"/>
          <w:szCs w:val="22"/>
        </w:rPr>
        <w:t xml:space="preserve"> 3-4 mg/kg tt les 4h pdt 2 jours puis 2x/jr pdt 10jrs </w:t>
      </w:r>
    </w:p>
    <w:p w:rsidR="00F31A39" w:rsidRPr="00DC63C4" w:rsidRDefault="00A85DE9" w:rsidP="00DC63C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En absence d’atteinte rénale =&gt; furosémide, si anurie =&gt; hémodialyse ou dyalise péritonéale </w:t>
      </w:r>
    </w:p>
    <w:p w:rsidR="000F0472" w:rsidRPr="00DC63C4" w:rsidRDefault="000F0472" w:rsidP="00DC63C4">
      <w:pPr>
        <w:spacing w:line="276" w:lineRule="auto"/>
        <w:rPr>
          <w:rFonts w:asciiTheme="minorHAnsi" w:hAnsiTheme="minorHAnsi"/>
          <w:color w:val="000080"/>
          <w:sz w:val="22"/>
          <w:szCs w:val="22"/>
        </w:rPr>
      </w:pPr>
    </w:p>
    <w:p w:rsidR="000F0472" w:rsidRPr="00DC63C4" w:rsidRDefault="000F0472" w:rsidP="00DC63C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63C4">
        <w:rPr>
          <w:rFonts w:asciiTheme="minorHAnsi" w:hAnsiTheme="minorHAnsi"/>
          <w:b/>
          <w:color w:val="000080"/>
          <w:sz w:val="22"/>
          <w:szCs w:val="22"/>
        </w:rPr>
        <w:t>intoxication chronique :</w:t>
      </w:r>
    </w:p>
    <w:p w:rsidR="000F0472" w:rsidRPr="00DC63C4" w:rsidRDefault="00A85DE9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pas de thérapie efficace </w:t>
      </w:r>
    </w:p>
    <w:p w:rsidR="00A85DE9" w:rsidRPr="00DC63C4" w:rsidRDefault="00A85DE9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chélateurs : BAL, EDTA, </w:t>
      </w:r>
      <w:proofErr w:type="spellStart"/>
      <w:r w:rsidRPr="00DC63C4">
        <w:rPr>
          <w:rFonts w:asciiTheme="minorHAnsi" w:hAnsiTheme="minorHAnsi"/>
          <w:sz w:val="22"/>
          <w:szCs w:val="22"/>
        </w:rPr>
        <w:t>penicillamine</w:t>
      </w:r>
      <w:proofErr w:type="spellEnd"/>
      <w:r w:rsidRPr="00DC63C4">
        <w:rPr>
          <w:rFonts w:asciiTheme="minorHAnsi" w:hAnsiTheme="minorHAnsi"/>
          <w:sz w:val="22"/>
          <w:szCs w:val="22"/>
        </w:rPr>
        <w:t xml:space="preserve"> </w:t>
      </w:r>
    </w:p>
    <w:p w:rsidR="00A85DE9" w:rsidRPr="00DC63C4" w:rsidRDefault="00A85DE9" w:rsidP="00DC63C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0472" w:rsidRPr="00DC63C4" w:rsidRDefault="00A85DE9" w:rsidP="00DC63C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63C4">
        <w:rPr>
          <w:rFonts w:asciiTheme="minorHAnsi" w:hAnsiTheme="minorHAnsi"/>
          <w:b/>
          <w:color w:val="000080"/>
          <w:sz w:val="22"/>
          <w:szCs w:val="22"/>
        </w:rPr>
        <w:t>prévention</w:t>
      </w:r>
    </w:p>
    <w:p w:rsidR="00A85DE9" w:rsidRPr="00DC63C4" w:rsidRDefault="00A85DE9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85DE9" w:rsidRPr="00DC63C4" w:rsidRDefault="00A85DE9" w:rsidP="00DC63C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63C4">
        <w:rPr>
          <w:rFonts w:asciiTheme="minorHAnsi" w:hAnsiTheme="minorHAnsi"/>
          <w:b/>
          <w:color w:val="FF0000"/>
          <w:sz w:val="22"/>
          <w:szCs w:val="22"/>
        </w:rPr>
        <w:t xml:space="preserve">Les organo-mercuriels </w:t>
      </w:r>
    </w:p>
    <w:p w:rsidR="00A85DE9" w:rsidRPr="00DC63C4" w:rsidRDefault="00A85DE9" w:rsidP="00DC63C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85DE9" w:rsidRPr="00DC63C4" w:rsidRDefault="00A85DE9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exposition par voie cutanée ou respiratoire</w:t>
      </w:r>
    </w:p>
    <w:p w:rsidR="00A85DE9" w:rsidRPr="00DC63C4" w:rsidRDefault="00A85DE9" w:rsidP="00DC63C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les dérivé organique libèrent de l’Hg métallique =&gt; hydrargyrisme classique ou ont une action toxique par leurs radicaux organique qui ont un tropisme particulier pour le SNC</w:t>
      </w:r>
    </w:p>
    <w:p w:rsidR="00A85DE9" w:rsidRPr="00DC63C4" w:rsidRDefault="00A85DE9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troubles cérébelleux</w:t>
      </w:r>
    </w:p>
    <w:p w:rsidR="00A85DE9" w:rsidRPr="00DC63C4" w:rsidRDefault="00A85DE9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paralysie motrice</w:t>
      </w:r>
    </w:p>
    <w:p w:rsidR="00A85DE9" w:rsidRPr="00DC63C4" w:rsidRDefault="00A85DE9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>troubles sensoriels : diplopie, rétrécissement du champ visuel, surdité</w:t>
      </w:r>
    </w:p>
    <w:p w:rsidR="00A85DE9" w:rsidRPr="00DC63C4" w:rsidRDefault="00A85DE9" w:rsidP="00DC63C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63C4">
        <w:rPr>
          <w:rFonts w:asciiTheme="minorHAnsi" w:hAnsiTheme="minorHAnsi"/>
          <w:sz w:val="22"/>
          <w:szCs w:val="22"/>
        </w:rPr>
        <w:t xml:space="preserve">la mort et les séquelles sont fréquentes </w:t>
      </w:r>
    </w:p>
    <w:sectPr w:rsidR="00A85DE9" w:rsidRPr="00DC63C4" w:rsidSect="003010A6">
      <w:pgSz w:w="11906" w:h="16838"/>
      <w:pgMar w:top="899" w:right="110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84248"/>
    <w:multiLevelType w:val="hybridMultilevel"/>
    <w:tmpl w:val="C6E0343E"/>
    <w:lvl w:ilvl="0" w:tplc="286E6E3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47F86"/>
    <w:multiLevelType w:val="hybridMultilevel"/>
    <w:tmpl w:val="8A92792C"/>
    <w:lvl w:ilvl="0" w:tplc="F788B0D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3D7C7BF9"/>
    <w:multiLevelType w:val="hybridMultilevel"/>
    <w:tmpl w:val="34A63DCE"/>
    <w:lvl w:ilvl="0" w:tplc="040C0009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042"/>
        </w:tabs>
        <w:ind w:left="10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62"/>
        </w:tabs>
        <w:ind w:left="17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482"/>
        </w:tabs>
        <w:ind w:left="24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02"/>
        </w:tabs>
        <w:ind w:left="32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22"/>
        </w:tabs>
        <w:ind w:left="39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42"/>
        </w:tabs>
        <w:ind w:left="46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62"/>
        </w:tabs>
        <w:ind w:left="53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082"/>
        </w:tabs>
        <w:ind w:left="6082" w:hanging="360"/>
      </w:pPr>
      <w:rPr>
        <w:rFonts w:ascii="Wingdings" w:hAnsi="Wingdings" w:hint="default"/>
      </w:rPr>
    </w:lvl>
  </w:abstractNum>
  <w:abstractNum w:abstractNumId="3">
    <w:nsid w:val="4F5C4325"/>
    <w:multiLevelType w:val="hybridMultilevel"/>
    <w:tmpl w:val="C3E48D1C"/>
    <w:lvl w:ilvl="0" w:tplc="64AEDD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A176542"/>
    <w:multiLevelType w:val="hybridMultilevel"/>
    <w:tmpl w:val="B59EF1AE"/>
    <w:lvl w:ilvl="0" w:tplc="0CD0D7F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5A4129F5"/>
    <w:multiLevelType w:val="hybridMultilevel"/>
    <w:tmpl w:val="8876B0B0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1BC28A3"/>
    <w:multiLevelType w:val="hybridMultilevel"/>
    <w:tmpl w:val="09D487CA"/>
    <w:lvl w:ilvl="0" w:tplc="040C000B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35B5AD0"/>
    <w:multiLevelType w:val="hybridMultilevel"/>
    <w:tmpl w:val="625CE714"/>
    <w:lvl w:ilvl="0" w:tplc="040C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F5D1F2D"/>
    <w:multiLevelType w:val="hybridMultilevel"/>
    <w:tmpl w:val="3B5E156E"/>
    <w:lvl w:ilvl="0" w:tplc="040C000B"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42"/>
        </w:tabs>
        <w:ind w:left="10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62"/>
        </w:tabs>
        <w:ind w:left="17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482"/>
        </w:tabs>
        <w:ind w:left="24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02"/>
        </w:tabs>
        <w:ind w:left="32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22"/>
        </w:tabs>
        <w:ind w:left="39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42"/>
        </w:tabs>
        <w:ind w:left="46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62"/>
        </w:tabs>
        <w:ind w:left="53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082"/>
        </w:tabs>
        <w:ind w:left="6082" w:hanging="360"/>
      </w:pPr>
      <w:rPr>
        <w:rFonts w:ascii="Wingdings" w:hAnsi="Wingdings" w:hint="default"/>
      </w:rPr>
    </w:lvl>
  </w:abstractNum>
  <w:abstractNum w:abstractNumId="9">
    <w:nsid w:val="71E65CA3"/>
    <w:multiLevelType w:val="hybridMultilevel"/>
    <w:tmpl w:val="77FC806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hyphenationZone w:val="425"/>
  <w:characterSpacingControl w:val="doNotCompress"/>
  <w:compat/>
  <w:rsids>
    <w:rsidRoot w:val="00CC37DF"/>
    <w:rsid w:val="000442A0"/>
    <w:rsid w:val="00055BCF"/>
    <w:rsid w:val="000F0472"/>
    <w:rsid w:val="001324EF"/>
    <w:rsid w:val="003010A6"/>
    <w:rsid w:val="00365891"/>
    <w:rsid w:val="00452EDD"/>
    <w:rsid w:val="004D77B5"/>
    <w:rsid w:val="005A6836"/>
    <w:rsid w:val="006443CA"/>
    <w:rsid w:val="007453F1"/>
    <w:rsid w:val="00934FFF"/>
    <w:rsid w:val="009F6EFC"/>
    <w:rsid w:val="00A85DE9"/>
    <w:rsid w:val="00AD4620"/>
    <w:rsid w:val="00AF3C58"/>
    <w:rsid w:val="00B178B9"/>
    <w:rsid w:val="00CC37DF"/>
    <w:rsid w:val="00DC63C4"/>
    <w:rsid w:val="00F3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77B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43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566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Intoxication au mercure = hydrargyrisme  Tableau N°02</vt:lpstr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Intoxication au mercure = hydrargyrisme  Tableau N°02</dc:title>
  <dc:creator>megh</dc:creator>
  <cp:lastModifiedBy>HOUSSEM</cp:lastModifiedBy>
  <cp:revision>3</cp:revision>
  <dcterms:created xsi:type="dcterms:W3CDTF">2010-04-27T17:49:00Z</dcterms:created>
  <dcterms:modified xsi:type="dcterms:W3CDTF">2012-08-27T16:32:00Z</dcterms:modified>
</cp:coreProperties>
</file>