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1B6643" w:rsidRDefault="00CA080A" w:rsidP="001B6643">
      <w:pPr>
        <w:jc w:val="center"/>
        <w:rPr>
          <w:b/>
          <w:bCs/>
          <w:color w:val="FF0000"/>
        </w:rPr>
      </w:pPr>
      <w:r w:rsidRPr="001B6643">
        <w:rPr>
          <w:b/>
          <w:bCs/>
          <w:color w:val="FF0000"/>
        </w:rPr>
        <w:t>Surdité professionnelle</w:t>
      </w:r>
    </w:p>
    <w:p w:rsidR="00CA080A" w:rsidRDefault="00CA080A" w:rsidP="00CA080A">
      <w:pPr>
        <w:pStyle w:val="Paragraphedeliste"/>
        <w:numPr>
          <w:ilvl w:val="0"/>
          <w:numId w:val="1"/>
        </w:numPr>
      </w:pPr>
      <w:r w:rsidRPr="00C26258">
        <w:rPr>
          <w:highlight w:val="yellow"/>
        </w:rPr>
        <w:t>le bruit prolongé  &gt; 85db</w:t>
      </w:r>
      <w:r>
        <w:t xml:space="preserve"> entraine des </w:t>
      </w:r>
      <w:r w:rsidRPr="00C26258">
        <w:rPr>
          <w:highlight w:val="yellow"/>
        </w:rPr>
        <w:t>lésions dégénératives des cellules ciliées de l’organe de Corti (cochlée</w:t>
      </w:r>
      <w:r>
        <w:t xml:space="preserve">)  =&gt; </w:t>
      </w:r>
      <w:r w:rsidRPr="00C26258">
        <w:rPr>
          <w:highlight w:val="yellow"/>
        </w:rPr>
        <w:t>surdité de perception</w:t>
      </w:r>
    </w:p>
    <w:p w:rsidR="00CA080A" w:rsidRDefault="00CA080A" w:rsidP="00CA080A">
      <w:pPr>
        <w:pStyle w:val="Paragraphedeliste"/>
        <w:numPr>
          <w:ilvl w:val="0"/>
          <w:numId w:val="1"/>
        </w:numPr>
      </w:pPr>
      <w:r>
        <w:t xml:space="preserve">l’oreille humaine perçoit les sons entre 20-20000 Hz  </w:t>
      </w:r>
    </w:p>
    <w:p w:rsidR="00CA080A" w:rsidRDefault="00CA080A" w:rsidP="00CA080A">
      <w:pPr>
        <w:pStyle w:val="Paragraphedeliste"/>
        <w:numPr>
          <w:ilvl w:val="0"/>
          <w:numId w:val="2"/>
        </w:numPr>
      </w:pPr>
      <w:r>
        <w:t>infrasons &lt;20Hz</w:t>
      </w:r>
    </w:p>
    <w:p w:rsidR="00CA080A" w:rsidRDefault="00CA080A" w:rsidP="00CA080A">
      <w:pPr>
        <w:pStyle w:val="Paragraphedeliste"/>
        <w:numPr>
          <w:ilvl w:val="0"/>
          <w:numId w:val="2"/>
        </w:numPr>
      </w:pPr>
      <w:r>
        <w:t>ultrasons &gt; 20000Hz</w:t>
      </w:r>
    </w:p>
    <w:p w:rsidR="00CA080A" w:rsidRDefault="00CA080A" w:rsidP="00CA080A">
      <w:pPr>
        <w:pStyle w:val="Paragraphedeliste"/>
        <w:numPr>
          <w:ilvl w:val="0"/>
          <w:numId w:val="2"/>
        </w:numPr>
      </w:pPr>
      <w:r>
        <w:t>les fréquences de conversation : 500-2000Hz</w:t>
      </w:r>
    </w:p>
    <w:p w:rsidR="00CA080A" w:rsidRDefault="00CA080A" w:rsidP="00CA080A">
      <w:pPr>
        <w:pStyle w:val="Paragraphedeliste"/>
        <w:numPr>
          <w:ilvl w:val="0"/>
          <w:numId w:val="1"/>
        </w:numPr>
      </w:pPr>
      <w:r>
        <w:t>l’intensité du bruit : 1db est la plus petite variation de bruit susceptible d’être perçue par l’oreille humaine</w:t>
      </w:r>
    </w:p>
    <w:p w:rsidR="00CA080A" w:rsidRPr="001B6643" w:rsidRDefault="00CA080A" w:rsidP="00CA080A">
      <w:pPr>
        <w:rPr>
          <w:b/>
          <w:bCs/>
          <w:color w:val="FF0000"/>
        </w:rPr>
      </w:pPr>
      <w:r w:rsidRPr="001B6643">
        <w:rPr>
          <w:b/>
          <w:bCs/>
          <w:color w:val="FF0000"/>
        </w:rPr>
        <w:t xml:space="preserve">Effets extra-auditifs du bruit </w:t>
      </w:r>
    </w:p>
    <w:p w:rsidR="00CA080A" w:rsidRDefault="00CA080A" w:rsidP="00CA080A">
      <w:pPr>
        <w:pStyle w:val="Paragraphedeliste"/>
        <w:numPr>
          <w:ilvl w:val="0"/>
          <w:numId w:val="1"/>
        </w:numPr>
      </w:pPr>
      <w:r>
        <w:t>↗FC et ↗TA</w:t>
      </w:r>
    </w:p>
    <w:p w:rsidR="00CA080A" w:rsidRDefault="00CA080A" w:rsidP="00CA080A">
      <w:pPr>
        <w:pStyle w:val="Paragraphedeliste"/>
        <w:numPr>
          <w:ilvl w:val="0"/>
          <w:numId w:val="1"/>
        </w:numPr>
      </w:pPr>
      <w:r>
        <w:t>hyposécrétion gastrique et anorexie</w:t>
      </w:r>
    </w:p>
    <w:p w:rsidR="00CA080A" w:rsidRDefault="00CA080A" w:rsidP="00CA080A">
      <w:pPr>
        <w:pStyle w:val="Paragraphedeliste"/>
        <w:numPr>
          <w:ilvl w:val="0"/>
          <w:numId w:val="1"/>
        </w:numPr>
      </w:pPr>
      <w:r>
        <w:t>asthénie, céphalées,</w:t>
      </w:r>
      <w:r w:rsidR="00C976CE">
        <w:t xml:space="preserve"> insomnie, irritabilité, dépression</w:t>
      </w:r>
    </w:p>
    <w:p w:rsidR="00C976CE" w:rsidRPr="001B6643" w:rsidRDefault="00C976CE" w:rsidP="00C976CE">
      <w:pPr>
        <w:rPr>
          <w:b/>
          <w:bCs/>
          <w:color w:val="FF0000"/>
        </w:rPr>
      </w:pPr>
      <w:r w:rsidRPr="001B6643">
        <w:rPr>
          <w:b/>
          <w:bCs/>
          <w:color w:val="FF0000"/>
        </w:rPr>
        <w:t>Caractères de la surdité professionnelle</w:t>
      </w:r>
      <w:r w:rsidR="00C26258">
        <w:rPr>
          <w:b/>
          <w:bCs/>
          <w:color w:val="FF0000"/>
        </w:rPr>
        <w:t>+++</w:t>
      </w:r>
    </w:p>
    <w:p w:rsidR="00C976CE" w:rsidRDefault="00C976CE" w:rsidP="00C976CE">
      <w:pPr>
        <w:pStyle w:val="Paragraphedeliste"/>
        <w:numPr>
          <w:ilvl w:val="0"/>
          <w:numId w:val="1"/>
        </w:numPr>
      </w:pPr>
      <w:r>
        <w:t xml:space="preserve">débute toujours par un </w:t>
      </w:r>
      <w:r w:rsidRPr="00C26258">
        <w:rPr>
          <w:highlight w:val="yellow"/>
        </w:rPr>
        <w:t>scotome auditif localisé sur les 4000Hz</w:t>
      </w:r>
    </w:p>
    <w:p w:rsidR="00C976CE" w:rsidRDefault="00C976CE" w:rsidP="00C976CE">
      <w:pPr>
        <w:pStyle w:val="Paragraphedeliste"/>
        <w:numPr>
          <w:ilvl w:val="0"/>
          <w:numId w:val="1"/>
        </w:numPr>
      </w:pPr>
      <w:r>
        <w:t>surdité de perception avec recrutement bilatérale et symétrique</w:t>
      </w:r>
    </w:p>
    <w:p w:rsidR="00C976CE" w:rsidRDefault="00C976CE" w:rsidP="00C976CE">
      <w:pPr>
        <w:pStyle w:val="Paragraphedeliste"/>
        <w:numPr>
          <w:ilvl w:val="0"/>
          <w:numId w:val="1"/>
        </w:numPr>
      </w:pPr>
      <w:r>
        <w:t>surdité irréversible (sauf pour le stade 1)</w:t>
      </w:r>
    </w:p>
    <w:p w:rsidR="00C976CE" w:rsidRDefault="00C976CE" w:rsidP="00C976CE">
      <w:pPr>
        <w:pStyle w:val="Paragraphedeliste"/>
        <w:numPr>
          <w:ilvl w:val="0"/>
          <w:numId w:val="1"/>
        </w:numPr>
      </w:pPr>
      <w:r>
        <w:t>la lésion cesse quand on arrête l’exposition au bruit</w:t>
      </w:r>
    </w:p>
    <w:p w:rsidR="00C976CE" w:rsidRDefault="00C976CE" w:rsidP="00C976CE">
      <w:pPr>
        <w:pStyle w:val="Paragraphedeliste"/>
        <w:numPr>
          <w:ilvl w:val="0"/>
          <w:numId w:val="1"/>
        </w:numPr>
      </w:pPr>
      <w:r>
        <w:t>surdité plus marquée en audiométrie vocale que tonale</w:t>
      </w:r>
    </w:p>
    <w:p w:rsidR="0067257C" w:rsidRPr="001B6643" w:rsidRDefault="0067257C" w:rsidP="00855621">
      <w:pPr>
        <w:rPr>
          <w:b/>
          <w:bCs/>
          <w:color w:val="FF0000"/>
        </w:rPr>
      </w:pPr>
      <w:r w:rsidRPr="001B6643">
        <w:rPr>
          <w:b/>
          <w:bCs/>
          <w:color w:val="FF0000"/>
        </w:rPr>
        <w:t xml:space="preserve">Evolution : </w:t>
      </w:r>
    </w:p>
    <w:p w:rsidR="0067257C" w:rsidRDefault="0067257C" w:rsidP="0067257C">
      <w:pPr>
        <w:pStyle w:val="Paragraphedeliste"/>
        <w:numPr>
          <w:ilvl w:val="0"/>
          <w:numId w:val="1"/>
        </w:numPr>
      </w:pPr>
      <w:r w:rsidRPr="001B6643">
        <w:rPr>
          <w:b/>
          <w:bCs/>
        </w:rPr>
        <w:t>Stade 1 :</w:t>
      </w:r>
      <w:r>
        <w:t xml:space="preserve"> infraclinique, </w:t>
      </w:r>
      <w:r w:rsidRPr="000862BF">
        <w:rPr>
          <w:highlight w:val="yellow"/>
        </w:rPr>
        <w:t>scotome</w:t>
      </w:r>
      <w:r>
        <w:t xml:space="preserve"> auditif de </w:t>
      </w:r>
      <w:r w:rsidRPr="000862BF">
        <w:rPr>
          <w:highlight w:val="yellow"/>
        </w:rPr>
        <w:t>30-50db</w:t>
      </w:r>
      <w:r>
        <w:t xml:space="preserve"> localisé sur la </w:t>
      </w:r>
      <w:r w:rsidRPr="000862BF">
        <w:rPr>
          <w:highlight w:val="yellow"/>
        </w:rPr>
        <w:t>fréquence 4000Hz</w:t>
      </w:r>
    </w:p>
    <w:p w:rsidR="0067257C" w:rsidRDefault="0067257C" w:rsidP="0067257C">
      <w:pPr>
        <w:pStyle w:val="Paragraphedeliste"/>
        <w:numPr>
          <w:ilvl w:val="0"/>
          <w:numId w:val="1"/>
        </w:numPr>
      </w:pPr>
      <w:r w:rsidRPr="001B6643">
        <w:rPr>
          <w:b/>
          <w:bCs/>
        </w:rPr>
        <w:t>Stade 2 :</w:t>
      </w:r>
      <w:r>
        <w:t xml:space="preserve"> infraclinique mais irréversible </w:t>
      </w:r>
    </w:p>
    <w:p w:rsidR="0067257C" w:rsidRDefault="0067257C" w:rsidP="0067257C">
      <w:pPr>
        <w:pStyle w:val="Paragraphedeliste"/>
        <w:numPr>
          <w:ilvl w:val="0"/>
          <w:numId w:val="1"/>
        </w:numPr>
      </w:pPr>
      <w:r w:rsidRPr="001B6643">
        <w:rPr>
          <w:b/>
          <w:bCs/>
        </w:rPr>
        <w:t>Stade 3 :</w:t>
      </w:r>
      <w:r>
        <w:t xml:space="preserve"> la voix chuchoté</w:t>
      </w:r>
      <w:r w:rsidR="000862BF">
        <w:t>e</w:t>
      </w:r>
      <w:r>
        <w:t xml:space="preserve"> n’est pas perçue (tic-tac d’une montre) + bourdonnement transitoire</w:t>
      </w:r>
    </w:p>
    <w:p w:rsidR="0067257C" w:rsidRDefault="0067257C" w:rsidP="0067257C">
      <w:pPr>
        <w:pStyle w:val="Paragraphedeliste"/>
        <w:numPr>
          <w:ilvl w:val="0"/>
          <w:numId w:val="1"/>
        </w:numPr>
      </w:pPr>
      <w:r w:rsidRPr="001B6643">
        <w:rPr>
          <w:b/>
          <w:bCs/>
        </w:rPr>
        <w:t>Stade 4 :</w:t>
      </w:r>
      <w:r>
        <w:t xml:space="preserve"> surdité manifeste, la voix haute n’est pas perçue, bourdonnement constant, courbe plongeante sur les fréquences aigues, handicap sensoriel </w:t>
      </w:r>
    </w:p>
    <w:p w:rsidR="00C976CE" w:rsidRDefault="00855621" w:rsidP="00855621">
      <w:r w:rsidRPr="001B6643">
        <w:rPr>
          <w:b/>
          <w:bCs/>
          <w:color w:val="FF0000"/>
        </w:rPr>
        <w:t>Réparation :</w:t>
      </w:r>
      <w:r>
        <w:t xml:space="preserve"> </w:t>
      </w:r>
      <w:r w:rsidRPr="001B6643">
        <w:rPr>
          <w:highlight w:val="yellow"/>
        </w:rPr>
        <w:t>tableau 42</w:t>
      </w:r>
    </w:p>
    <w:p w:rsidR="00855621" w:rsidRDefault="000862BF" w:rsidP="00855621">
      <w:pPr>
        <w:pStyle w:val="Paragraphedeliste"/>
        <w:numPr>
          <w:ilvl w:val="0"/>
          <w:numId w:val="1"/>
        </w:numPr>
      </w:pPr>
      <w:r>
        <w:t xml:space="preserve">délai de </w:t>
      </w:r>
      <w:r w:rsidR="00855621">
        <w:t>PEC d’une surdité de perception bilatérale et symétrique : 1an</w:t>
      </w:r>
    </w:p>
    <w:p w:rsidR="00855621" w:rsidRDefault="00855621" w:rsidP="00855621">
      <w:pPr>
        <w:pStyle w:val="Paragraphedeliste"/>
        <w:numPr>
          <w:ilvl w:val="0"/>
          <w:numId w:val="1"/>
        </w:numPr>
      </w:pPr>
      <w:r>
        <w:t>liste limitative des professions : métallurgie, industrie du textile</w:t>
      </w:r>
    </w:p>
    <w:p w:rsidR="00855621" w:rsidRPr="001B6643" w:rsidRDefault="00855621" w:rsidP="00855621">
      <w:pPr>
        <w:rPr>
          <w:b/>
          <w:bCs/>
          <w:color w:val="FF0000"/>
        </w:rPr>
      </w:pPr>
      <w:r w:rsidRPr="001B6643">
        <w:rPr>
          <w:b/>
          <w:bCs/>
          <w:color w:val="FF0000"/>
        </w:rPr>
        <w:t>Critères médico-légaux :</w:t>
      </w:r>
    </w:p>
    <w:p w:rsidR="00855621" w:rsidRDefault="00855621" w:rsidP="00855621">
      <w:pPr>
        <w:pStyle w:val="Paragraphedeliste"/>
        <w:numPr>
          <w:ilvl w:val="0"/>
          <w:numId w:val="1"/>
        </w:numPr>
      </w:pPr>
      <w:r>
        <w:t>délai d’exposition</w:t>
      </w:r>
      <w:r w:rsidR="0067257C">
        <w:t xml:space="preserve"> (menuiserie, marteau piqueur)</w:t>
      </w:r>
      <w:r>
        <w:t xml:space="preserve"> : 1an, </w:t>
      </w:r>
    </w:p>
    <w:p w:rsidR="00855621" w:rsidRDefault="00855621" w:rsidP="00855621">
      <w:pPr>
        <w:pStyle w:val="Paragraphedeliste"/>
        <w:numPr>
          <w:ilvl w:val="0"/>
          <w:numId w:val="1"/>
        </w:numPr>
      </w:pPr>
      <w:r>
        <w:t>pour les gens qui travaillent dans les bands d’essais et à proximité des turbines : délai : 1mois</w:t>
      </w:r>
    </w:p>
    <w:p w:rsidR="00855621" w:rsidRDefault="00855621" w:rsidP="00855621">
      <w:pPr>
        <w:pStyle w:val="Paragraphedeliste"/>
      </w:pPr>
    </w:p>
    <w:p w:rsidR="00855621" w:rsidRDefault="00855621" w:rsidP="00855621"/>
    <w:sectPr w:rsidR="00855621" w:rsidSect="00C758B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E6668"/>
    <w:multiLevelType w:val="hybridMultilevel"/>
    <w:tmpl w:val="E2FED884"/>
    <w:lvl w:ilvl="0" w:tplc="258256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B36A6A"/>
    <w:multiLevelType w:val="hybridMultilevel"/>
    <w:tmpl w:val="7A28D734"/>
    <w:lvl w:ilvl="0" w:tplc="B06C8F7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A080A"/>
    <w:rsid w:val="000862BF"/>
    <w:rsid w:val="001B6643"/>
    <w:rsid w:val="0067257C"/>
    <w:rsid w:val="00681A6C"/>
    <w:rsid w:val="00855621"/>
    <w:rsid w:val="00A94D97"/>
    <w:rsid w:val="00AC1FA6"/>
    <w:rsid w:val="00C26258"/>
    <w:rsid w:val="00C758BB"/>
    <w:rsid w:val="00C976CE"/>
    <w:rsid w:val="00CA0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A08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2010-04-27T13:45:00Z</dcterms:created>
  <dcterms:modified xsi:type="dcterms:W3CDTF">2010-04-28T10:03:00Z</dcterms:modified>
</cp:coreProperties>
</file>