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58C" w:rsidRPr="00EC558C" w:rsidRDefault="00EC558C" w:rsidP="00EC558C">
      <w:pPr>
        <w:autoSpaceDE w:val="0"/>
        <w:autoSpaceDN w:val="0"/>
        <w:adjustRightInd w:val="0"/>
        <w:jc w:val="center"/>
        <w:rPr>
          <w:rFonts w:asciiTheme="majorBidi" w:hAnsiTheme="majorBidi" w:cstheme="majorBidi"/>
          <w:b/>
          <w:bCs/>
          <w:sz w:val="32"/>
          <w:szCs w:val="32"/>
        </w:rPr>
      </w:pPr>
      <w:r w:rsidRPr="00EC558C">
        <w:rPr>
          <w:rFonts w:asciiTheme="majorBidi" w:hAnsiTheme="majorBidi" w:cstheme="majorBidi"/>
          <w:b/>
          <w:bCs/>
          <w:sz w:val="32"/>
          <w:szCs w:val="32"/>
        </w:rPr>
        <w:t>CHAPITRE 5</w:t>
      </w:r>
    </w:p>
    <w:p w:rsidR="00EC558C" w:rsidRPr="00EC558C" w:rsidRDefault="00EC558C" w:rsidP="00EC558C">
      <w:pPr>
        <w:autoSpaceDE w:val="0"/>
        <w:autoSpaceDN w:val="0"/>
        <w:adjustRightInd w:val="0"/>
        <w:jc w:val="center"/>
        <w:rPr>
          <w:rFonts w:asciiTheme="majorBidi" w:hAnsiTheme="majorBidi" w:cstheme="majorBidi"/>
          <w:b/>
          <w:bCs/>
          <w:sz w:val="32"/>
          <w:szCs w:val="32"/>
        </w:rPr>
      </w:pPr>
      <w:r w:rsidRPr="00EC558C">
        <w:rPr>
          <w:rFonts w:asciiTheme="majorBidi" w:hAnsiTheme="majorBidi" w:cstheme="majorBidi"/>
          <w:b/>
          <w:bCs/>
          <w:sz w:val="32"/>
          <w:szCs w:val="32"/>
        </w:rPr>
        <w:t>Composition générale et propriétés des principaux aliments</w:t>
      </w:r>
    </w:p>
    <w:p w:rsidR="00EC558C" w:rsidRPr="00EC558C" w:rsidRDefault="00EC558C" w:rsidP="00EC558C">
      <w:pPr>
        <w:spacing w:line="240" w:lineRule="auto"/>
        <w:jc w:val="center"/>
        <w:rPr>
          <w:rFonts w:asciiTheme="majorBidi" w:hAnsiTheme="majorBidi" w:cstheme="majorBidi"/>
          <w:b/>
          <w:bCs/>
          <w:sz w:val="28"/>
          <w:szCs w:val="28"/>
        </w:rPr>
      </w:pPr>
      <w:r w:rsidRPr="00EC558C">
        <w:rPr>
          <w:rFonts w:asciiTheme="majorBidi" w:hAnsiTheme="majorBidi" w:cstheme="majorBidi"/>
          <w:b/>
          <w:bCs/>
          <w:sz w:val="28"/>
          <w:szCs w:val="28"/>
        </w:rPr>
        <w:t xml:space="preserve">I- Les céréales </w:t>
      </w:r>
    </w:p>
    <w:p w:rsidR="00EC558C" w:rsidRPr="00BF2D79" w:rsidRDefault="00EC558C" w:rsidP="00EC558C">
      <w:pPr>
        <w:spacing w:line="240" w:lineRule="auto"/>
        <w:jc w:val="both"/>
        <w:rPr>
          <w:rFonts w:asciiTheme="majorBidi" w:hAnsiTheme="majorBidi" w:cstheme="majorBidi"/>
          <w:b/>
          <w:bCs/>
          <w:sz w:val="24"/>
          <w:szCs w:val="24"/>
        </w:rPr>
      </w:pPr>
      <w:r>
        <w:rPr>
          <w:rFonts w:asciiTheme="majorBidi" w:hAnsiTheme="majorBidi" w:cstheme="majorBidi"/>
          <w:b/>
          <w:bCs/>
          <w:sz w:val="24"/>
          <w:szCs w:val="24"/>
        </w:rPr>
        <w:t>I</w:t>
      </w:r>
      <w:r w:rsidRPr="00BF2D79">
        <w:rPr>
          <w:rFonts w:asciiTheme="majorBidi" w:hAnsiTheme="majorBidi" w:cstheme="majorBidi"/>
          <w:b/>
          <w:bCs/>
          <w:sz w:val="24"/>
          <w:szCs w:val="24"/>
        </w:rPr>
        <w:t>.1 GÉNÉRALITÉS SUR LES CÉRÉALES</w:t>
      </w:r>
    </w:p>
    <w:p w:rsidR="00EC558C" w:rsidRPr="00BF2D79" w:rsidRDefault="00EC558C" w:rsidP="00EC558C">
      <w:pPr>
        <w:spacing w:line="240" w:lineRule="auto"/>
        <w:jc w:val="both"/>
        <w:rPr>
          <w:rFonts w:asciiTheme="majorBidi" w:hAnsiTheme="majorBidi" w:cstheme="majorBidi"/>
          <w:sz w:val="24"/>
          <w:szCs w:val="24"/>
        </w:rPr>
      </w:pPr>
      <w:r w:rsidRPr="00BF2D79">
        <w:rPr>
          <w:rFonts w:asciiTheme="majorBidi" w:hAnsiTheme="majorBidi" w:cstheme="majorBidi"/>
          <w:sz w:val="24"/>
          <w:szCs w:val="24"/>
        </w:rPr>
        <w:t xml:space="preserve">Les céréales sont un groupe de plantes cultivées appartenant, à l'exception du </w:t>
      </w:r>
      <w:proofErr w:type="spellStart"/>
      <w:r w:rsidRPr="00BF2D79">
        <w:rPr>
          <w:rFonts w:asciiTheme="majorBidi" w:hAnsiTheme="majorBidi" w:cstheme="majorBidi"/>
          <w:sz w:val="24"/>
          <w:szCs w:val="24"/>
        </w:rPr>
        <w:t>sarassin</w:t>
      </w:r>
      <w:proofErr w:type="spellEnd"/>
      <w:r w:rsidRPr="00BF2D79">
        <w:rPr>
          <w:rFonts w:asciiTheme="majorBidi" w:hAnsiTheme="majorBidi" w:cstheme="majorBidi"/>
          <w:sz w:val="24"/>
          <w:szCs w:val="24"/>
        </w:rPr>
        <w:t xml:space="preserve">, à la famille des </w:t>
      </w:r>
      <w:proofErr w:type="spellStart"/>
      <w:r w:rsidRPr="00BF2D79">
        <w:rPr>
          <w:rFonts w:asciiTheme="majorBidi" w:hAnsiTheme="majorBidi" w:cstheme="majorBidi"/>
          <w:sz w:val="24"/>
          <w:szCs w:val="24"/>
        </w:rPr>
        <w:t>Poacées</w:t>
      </w:r>
      <w:proofErr w:type="spellEnd"/>
      <w:r w:rsidRPr="00BF2D79">
        <w:rPr>
          <w:rFonts w:asciiTheme="majorBidi" w:hAnsiTheme="majorBidi" w:cstheme="majorBidi"/>
          <w:sz w:val="24"/>
          <w:szCs w:val="24"/>
        </w:rPr>
        <w:t xml:space="preserve"> (anciennement graminées) dont les graines présentent de par leur abondance et leur composition un intérêt majeur pour l'alimentation de l'homme et des animaux. Les graines alimentaires appartiennent à une dizaine d'espèces végétales. Les plus employées sont : le blé, le maïs, le riz.</w:t>
      </w:r>
    </w:p>
    <w:p w:rsidR="00EC558C" w:rsidRPr="00BF2D79" w:rsidRDefault="00EC558C" w:rsidP="00EC558C">
      <w:pPr>
        <w:spacing w:line="240" w:lineRule="auto"/>
        <w:jc w:val="both"/>
        <w:rPr>
          <w:rFonts w:asciiTheme="majorBidi" w:hAnsiTheme="majorBidi" w:cstheme="majorBidi"/>
          <w:sz w:val="24"/>
          <w:szCs w:val="24"/>
        </w:rPr>
      </w:pPr>
      <w:r>
        <w:rPr>
          <w:rFonts w:asciiTheme="majorBidi" w:hAnsiTheme="majorBidi" w:cstheme="majorBidi"/>
          <w:sz w:val="24"/>
          <w:szCs w:val="24"/>
        </w:rPr>
        <w:t>À celles-là, i</w:t>
      </w:r>
      <w:r w:rsidRPr="00BF2D79">
        <w:rPr>
          <w:rFonts w:asciiTheme="majorBidi" w:hAnsiTheme="majorBidi" w:cstheme="majorBidi"/>
          <w:sz w:val="24"/>
          <w:szCs w:val="24"/>
        </w:rPr>
        <w:t>l faut ajouter les céréales d'une utilisation moins répandue :</w:t>
      </w:r>
    </w:p>
    <w:p w:rsidR="00EC558C" w:rsidRPr="00BF2D79" w:rsidRDefault="00EC558C" w:rsidP="00EC558C">
      <w:pPr>
        <w:spacing w:line="240" w:lineRule="auto"/>
        <w:jc w:val="both"/>
        <w:rPr>
          <w:rFonts w:asciiTheme="majorBidi" w:hAnsiTheme="majorBidi" w:cstheme="majorBidi"/>
          <w:sz w:val="24"/>
          <w:szCs w:val="24"/>
        </w:rPr>
      </w:pPr>
      <w:r w:rsidRPr="00BF2D79">
        <w:rPr>
          <w:rFonts w:asciiTheme="majorBidi" w:hAnsiTheme="majorBidi" w:cstheme="majorBidi"/>
          <w:sz w:val="24"/>
          <w:szCs w:val="24"/>
        </w:rPr>
        <w:t>- orge - seigle - sorgho - méteil (mélange de blé et de seigle)</w:t>
      </w:r>
    </w:p>
    <w:p w:rsidR="00EC558C" w:rsidRPr="00BF2D79" w:rsidRDefault="00EC558C" w:rsidP="00EC558C">
      <w:pPr>
        <w:spacing w:line="240" w:lineRule="auto"/>
        <w:jc w:val="both"/>
        <w:rPr>
          <w:rFonts w:asciiTheme="majorBidi" w:hAnsiTheme="majorBidi" w:cstheme="majorBidi"/>
          <w:sz w:val="24"/>
          <w:szCs w:val="24"/>
        </w:rPr>
      </w:pPr>
      <w:r w:rsidRPr="00BF2D79">
        <w:rPr>
          <w:rFonts w:asciiTheme="majorBidi" w:hAnsiTheme="majorBidi" w:cstheme="majorBidi"/>
          <w:sz w:val="24"/>
          <w:szCs w:val="24"/>
        </w:rPr>
        <w:t>- avoine - sarrasin - mil - triticale (hybride de blé et de seigle).</w:t>
      </w:r>
    </w:p>
    <w:p w:rsidR="00EC558C" w:rsidRPr="00BF2D79" w:rsidRDefault="00EC558C" w:rsidP="00EC558C">
      <w:pPr>
        <w:spacing w:line="240" w:lineRule="auto"/>
        <w:jc w:val="both"/>
        <w:rPr>
          <w:rFonts w:asciiTheme="majorBidi" w:hAnsiTheme="majorBidi" w:cstheme="majorBidi"/>
          <w:sz w:val="24"/>
          <w:szCs w:val="24"/>
        </w:rPr>
      </w:pPr>
      <w:r w:rsidRPr="00BF2D79">
        <w:rPr>
          <w:rFonts w:asciiTheme="majorBidi" w:hAnsiTheme="majorBidi" w:cstheme="majorBidi"/>
          <w:sz w:val="24"/>
          <w:szCs w:val="24"/>
        </w:rPr>
        <w:t>Le tableau 10.1 révèle les différences de compositio</w:t>
      </w:r>
      <w:r>
        <w:rPr>
          <w:rFonts w:asciiTheme="majorBidi" w:hAnsiTheme="majorBidi" w:cstheme="majorBidi"/>
          <w:sz w:val="24"/>
          <w:szCs w:val="24"/>
        </w:rPr>
        <w:t>n entre les graines céréalières</w:t>
      </w:r>
      <w:r w:rsidRPr="00BF2D79">
        <w:rPr>
          <w:rFonts w:asciiTheme="majorBidi" w:hAnsiTheme="majorBidi" w:cstheme="majorBidi"/>
          <w:sz w:val="24"/>
          <w:szCs w:val="24"/>
        </w:rPr>
        <w:t xml:space="preserve">. Ces différences n'expliquent qu'en partie les utilisations qui en sont faites : la qualité des protéines est également prise en compte (tableau 10.2). Les farines de céréales contiennent, à côté de l'amidon, des protéines de réserve insolubles dans l'eau. Dans le blé, ces protéines appartiennent à deux familles, les gliadines et les </w:t>
      </w:r>
      <w:proofErr w:type="spellStart"/>
      <w:r w:rsidRPr="00BF2D79">
        <w:rPr>
          <w:rFonts w:asciiTheme="majorBidi" w:hAnsiTheme="majorBidi" w:cstheme="majorBidi"/>
          <w:sz w:val="24"/>
          <w:szCs w:val="24"/>
        </w:rPr>
        <w:t>gluténines</w:t>
      </w:r>
      <w:proofErr w:type="spellEnd"/>
      <w:r w:rsidRPr="00BF2D79">
        <w:rPr>
          <w:rFonts w:asciiTheme="majorBidi" w:hAnsiTheme="majorBidi" w:cstheme="majorBidi"/>
          <w:sz w:val="24"/>
          <w:szCs w:val="24"/>
        </w:rPr>
        <w:t xml:space="preserve">, que l'on ne retrouve pas ailleurs. Lorsqu'elles sont présentes en bonne proportion, elles permettent l'obtention d'une pâte extensible (propriété des gliadines) et élastique (propriété des </w:t>
      </w:r>
      <w:proofErr w:type="spellStart"/>
      <w:r w:rsidRPr="00BF2D79">
        <w:rPr>
          <w:rFonts w:asciiTheme="majorBidi" w:hAnsiTheme="majorBidi" w:cstheme="majorBidi"/>
          <w:sz w:val="24"/>
          <w:szCs w:val="24"/>
        </w:rPr>
        <w:t>gluténines</w:t>
      </w:r>
      <w:proofErr w:type="spellEnd"/>
      <w:r w:rsidRPr="00BF2D79">
        <w:rPr>
          <w:rFonts w:asciiTheme="majorBidi" w:hAnsiTheme="majorBidi" w:cstheme="majorBidi"/>
          <w:sz w:val="24"/>
          <w:szCs w:val="24"/>
        </w:rPr>
        <w:t>) qui donnera le pain.</w:t>
      </w:r>
    </w:p>
    <w:p w:rsidR="00EC558C" w:rsidRPr="00BF2D79" w:rsidRDefault="00EC558C" w:rsidP="00EC558C">
      <w:pPr>
        <w:spacing w:line="240" w:lineRule="auto"/>
        <w:jc w:val="both"/>
        <w:rPr>
          <w:rFonts w:asciiTheme="majorBidi" w:hAnsiTheme="majorBidi" w:cstheme="majorBidi"/>
          <w:sz w:val="24"/>
          <w:szCs w:val="24"/>
        </w:rPr>
      </w:pPr>
      <w:r w:rsidRPr="00BF2D79">
        <w:rPr>
          <w:rFonts w:asciiTheme="majorBidi" w:hAnsiTheme="majorBidi" w:cstheme="majorBidi"/>
          <w:sz w:val="24"/>
          <w:szCs w:val="24"/>
        </w:rPr>
        <w:t>Seules deux céréales se prêtent bien à la panification moderne, le blé tendre essentiellement, le seigle dans une moindre mesure ; des hybrides de ces deux espèces ont d'ailleurs été obtenus. En outre, le blé dur convient bien à la fabrication des pâtes alimentaires.</w:t>
      </w:r>
    </w:p>
    <w:p w:rsidR="00EC558C" w:rsidRPr="00BF2D79" w:rsidRDefault="00EC558C" w:rsidP="00EC558C">
      <w:pPr>
        <w:spacing w:line="240" w:lineRule="auto"/>
        <w:rPr>
          <w:rFonts w:asciiTheme="majorBidi" w:hAnsiTheme="majorBidi" w:cstheme="majorBidi"/>
          <w:sz w:val="24"/>
          <w:szCs w:val="24"/>
        </w:rPr>
      </w:pPr>
      <w:r w:rsidRPr="00BF2D79">
        <w:rPr>
          <w:rFonts w:asciiTheme="majorBidi" w:hAnsiTheme="majorBidi" w:cstheme="majorBidi"/>
          <w:b/>
          <w:bCs/>
          <w:sz w:val="24"/>
          <w:szCs w:val="24"/>
        </w:rPr>
        <w:t xml:space="preserve">Tableau 10.1 : </w:t>
      </w:r>
      <w:r w:rsidRPr="00BF2D79">
        <w:rPr>
          <w:rFonts w:asciiTheme="majorBidi" w:hAnsiTheme="majorBidi" w:cstheme="majorBidi"/>
          <w:sz w:val="24"/>
          <w:szCs w:val="24"/>
        </w:rPr>
        <w:t xml:space="preserve">COMPOSITION MOYENNE DE GRAINES ET DE MICRO-ORGANISMES ALIMENTAIRES </w:t>
      </w:r>
      <w:r>
        <w:rPr>
          <w:rFonts w:asciiTheme="majorBidi" w:hAnsiTheme="majorBidi" w:cstheme="majorBidi"/>
          <w:sz w:val="24"/>
          <w:szCs w:val="24"/>
        </w:rPr>
        <w:t>(%</w:t>
      </w:r>
      <w:r w:rsidR="00966A20">
        <w:rPr>
          <w:rFonts w:asciiTheme="majorBidi" w:hAnsiTheme="majorBidi" w:cstheme="majorBidi"/>
          <w:sz w:val="24"/>
          <w:szCs w:val="24"/>
        </w:rPr>
        <w:t xml:space="preserve"> </w:t>
      </w:r>
      <w:r>
        <w:rPr>
          <w:rFonts w:asciiTheme="majorBidi" w:hAnsiTheme="majorBidi" w:cstheme="majorBidi"/>
          <w:sz w:val="24"/>
          <w:szCs w:val="24"/>
        </w:rPr>
        <w:t>de l’extrait sec)</w:t>
      </w:r>
      <w:r>
        <w:rPr>
          <w:rFonts w:asciiTheme="majorBidi" w:hAnsiTheme="majorBidi" w:cstheme="majorBidi"/>
          <w:noProof/>
          <w:sz w:val="24"/>
          <w:szCs w:val="24"/>
          <w:lang w:eastAsia="fr-FR"/>
        </w:rPr>
        <w:drawing>
          <wp:inline distT="0" distB="0" distL="0" distR="0">
            <wp:extent cx="6120842" cy="2581275"/>
            <wp:effectExtent l="19050" t="0" r="0" b="0"/>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6120130" cy="2580975"/>
                    </a:xfrm>
                    <a:prstGeom prst="rect">
                      <a:avLst/>
                    </a:prstGeom>
                    <a:noFill/>
                    <a:ln w="9525">
                      <a:noFill/>
                      <a:miter lim="800000"/>
                      <a:headEnd/>
                      <a:tailEnd/>
                    </a:ln>
                  </pic:spPr>
                </pic:pic>
              </a:graphicData>
            </a:graphic>
          </wp:inline>
        </w:drawing>
      </w:r>
      <w:r>
        <w:rPr>
          <w:rFonts w:asciiTheme="majorBidi" w:hAnsiTheme="majorBidi" w:cstheme="majorBidi"/>
          <w:sz w:val="24"/>
          <w:szCs w:val="24"/>
        </w:rPr>
        <w:t xml:space="preserve">   </w:t>
      </w:r>
    </w:p>
    <w:p w:rsidR="00EC558C" w:rsidRPr="00DA12F1" w:rsidRDefault="00EC558C" w:rsidP="00EC558C">
      <w:pPr>
        <w:spacing w:line="240" w:lineRule="auto"/>
        <w:jc w:val="both"/>
        <w:rPr>
          <w:rFonts w:asciiTheme="majorBidi" w:hAnsiTheme="majorBidi" w:cstheme="majorBidi"/>
          <w:sz w:val="20"/>
          <w:szCs w:val="20"/>
        </w:rPr>
      </w:pPr>
      <w:r w:rsidRPr="00DA12F1">
        <w:rPr>
          <w:rFonts w:asciiTheme="majorBidi" w:hAnsiTheme="majorBidi" w:cstheme="majorBidi"/>
          <w:sz w:val="20"/>
          <w:szCs w:val="20"/>
        </w:rPr>
        <w:t xml:space="preserve"> (*) Les produits commerciaux ont une teneur en eau comprise entre 6 et 14 %.</w:t>
      </w:r>
    </w:p>
    <w:p w:rsidR="00EC558C" w:rsidRPr="00DA12F1" w:rsidRDefault="00EC558C" w:rsidP="00EC558C">
      <w:pPr>
        <w:spacing w:line="240" w:lineRule="auto"/>
        <w:jc w:val="both"/>
        <w:rPr>
          <w:rFonts w:asciiTheme="majorBidi" w:hAnsiTheme="majorBidi" w:cstheme="majorBidi"/>
          <w:sz w:val="20"/>
          <w:szCs w:val="20"/>
        </w:rPr>
      </w:pPr>
      <w:r w:rsidRPr="00DA12F1">
        <w:rPr>
          <w:rFonts w:asciiTheme="majorBidi" w:hAnsiTheme="majorBidi" w:cstheme="majorBidi"/>
          <w:sz w:val="20"/>
          <w:szCs w:val="20"/>
        </w:rPr>
        <w:lastRenderedPageBreak/>
        <w:t>(**) Y compris les acides nucléiques.</w:t>
      </w:r>
    </w:p>
    <w:p w:rsidR="00EC558C" w:rsidRPr="00DA12F1" w:rsidRDefault="00EC558C" w:rsidP="00EC558C">
      <w:pPr>
        <w:spacing w:line="240" w:lineRule="auto"/>
        <w:jc w:val="both"/>
        <w:rPr>
          <w:rFonts w:asciiTheme="majorBidi" w:hAnsiTheme="majorBidi" w:cstheme="majorBidi"/>
          <w:sz w:val="20"/>
          <w:szCs w:val="20"/>
        </w:rPr>
      </w:pPr>
      <w:r w:rsidRPr="00DA12F1">
        <w:rPr>
          <w:rFonts w:asciiTheme="majorBidi" w:hAnsiTheme="majorBidi" w:cstheme="majorBidi"/>
          <w:sz w:val="20"/>
          <w:szCs w:val="20"/>
        </w:rPr>
        <w:t xml:space="preserve">("') Somme des glucides solubles (oses, </w:t>
      </w:r>
      <w:proofErr w:type="spellStart"/>
      <w:r w:rsidRPr="00DA12F1">
        <w:rPr>
          <w:rFonts w:asciiTheme="majorBidi" w:hAnsiTheme="majorBidi" w:cstheme="majorBidi"/>
          <w:sz w:val="20"/>
          <w:szCs w:val="20"/>
        </w:rPr>
        <w:t>oligosides</w:t>
      </w:r>
      <w:proofErr w:type="spellEnd"/>
      <w:r w:rsidRPr="00DA12F1">
        <w:rPr>
          <w:rFonts w:asciiTheme="majorBidi" w:hAnsiTheme="majorBidi" w:cstheme="majorBidi"/>
          <w:sz w:val="20"/>
          <w:szCs w:val="20"/>
        </w:rPr>
        <w:t xml:space="preserve"> et amidon) et des fibres; pour ces derniers, les teneurs trouvées dans la littérature sont très variables.</w:t>
      </w:r>
    </w:p>
    <w:p w:rsidR="00EC558C" w:rsidRPr="00BF2D79" w:rsidRDefault="00EC558C" w:rsidP="00EC558C">
      <w:pPr>
        <w:spacing w:line="240" w:lineRule="auto"/>
        <w:rPr>
          <w:rFonts w:asciiTheme="majorBidi" w:hAnsiTheme="majorBidi" w:cstheme="majorBidi"/>
          <w:sz w:val="24"/>
          <w:szCs w:val="24"/>
        </w:rPr>
      </w:pPr>
      <w:r w:rsidRPr="00BF2D79">
        <w:rPr>
          <w:rFonts w:asciiTheme="majorBidi" w:hAnsiTheme="majorBidi" w:cstheme="majorBidi"/>
          <w:b/>
          <w:bCs/>
          <w:sz w:val="24"/>
          <w:szCs w:val="24"/>
        </w:rPr>
        <w:t xml:space="preserve">Tableau 10.2 : </w:t>
      </w:r>
      <w:r w:rsidRPr="00BF2D79">
        <w:rPr>
          <w:rFonts w:asciiTheme="majorBidi" w:hAnsiTheme="majorBidi" w:cstheme="majorBidi"/>
          <w:sz w:val="24"/>
          <w:szCs w:val="24"/>
        </w:rPr>
        <w:t>FRACTIONS PROTÉIQUES DES CÉRÉALES</w:t>
      </w:r>
      <w:r>
        <w:rPr>
          <w:rFonts w:asciiTheme="majorBidi" w:hAnsiTheme="majorBidi" w:cstheme="majorBidi"/>
          <w:sz w:val="24"/>
          <w:szCs w:val="24"/>
        </w:rPr>
        <w:t xml:space="preserve"> </w:t>
      </w:r>
      <w:r w:rsidRPr="00BF2D79">
        <w:rPr>
          <w:rFonts w:asciiTheme="majorBidi" w:hAnsiTheme="majorBidi" w:cstheme="majorBidi"/>
          <w:sz w:val="24"/>
          <w:szCs w:val="24"/>
        </w:rPr>
        <w:t>(% DES PROTÉINES DE L'ALBUMEN).</w:t>
      </w:r>
    </w:p>
    <w:p w:rsidR="00EC558C" w:rsidRPr="00BF2D79" w:rsidRDefault="00EC558C" w:rsidP="00EC558C">
      <w:pPr>
        <w:spacing w:line="240" w:lineRule="auto"/>
        <w:jc w:val="both"/>
        <w:rPr>
          <w:rFonts w:asciiTheme="majorBidi" w:hAnsiTheme="majorBidi" w:cstheme="majorBidi"/>
          <w:sz w:val="24"/>
          <w:szCs w:val="24"/>
        </w:rPr>
      </w:pPr>
      <w:r>
        <w:rPr>
          <w:rFonts w:asciiTheme="majorBidi" w:hAnsiTheme="majorBidi" w:cstheme="majorBidi"/>
          <w:noProof/>
          <w:sz w:val="24"/>
          <w:szCs w:val="24"/>
          <w:lang w:eastAsia="fr-FR"/>
        </w:rPr>
        <w:drawing>
          <wp:inline distT="0" distB="0" distL="0" distR="0">
            <wp:extent cx="6120130" cy="3114189"/>
            <wp:effectExtent l="19050" t="0" r="0" b="0"/>
            <wp:docPr id="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6120130" cy="3114189"/>
                    </a:xfrm>
                    <a:prstGeom prst="rect">
                      <a:avLst/>
                    </a:prstGeom>
                    <a:noFill/>
                    <a:ln w="9525">
                      <a:noFill/>
                      <a:miter lim="800000"/>
                      <a:headEnd/>
                      <a:tailEnd/>
                    </a:ln>
                  </pic:spPr>
                </pic:pic>
              </a:graphicData>
            </a:graphic>
          </wp:inline>
        </w:drawing>
      </w:r>
    </w:p>
    <w:p w:rsidR="00EC558C" w:rsidRPr="00BF2D79" w:rsidRDefault="00EC558C" w:rsidP="00EC558C">
      <w:pPr>
        <w:spacing w:line="240" w:lineRule="auto"/>
        <w:jc w:val="both"/>
        <w:rPr>
          <w:rFonts w:asciiTheme="majorBidi" w:hAnsiTheme="majorBidi" w:cstheme="majorBidi"/>
          <w:sz w:val="24"/>
          <w:szCs w:val="24"/>
        </w:rPr>
      </w:pPr>
      <w:r w:rsidRPr="00BF2D79">
        <w:rPr>
          <w:rFonts w:asciiTheme="majorBidi" w:hAnsiTheme="majorBidi" w:cstheme="majorBidi"/>
          <w:sz w:val="24"/>
          <w:szCs w:val="24"/>
        </w:rPr>
        <w:t xml:space="preserve">Les autres céréales ont des emplois alimentaires variés. Le plus commun est la préparation de boissons alcoolisées en deux temps : hydrolyse de l'amidon par une (ou des) amylase(s), fermentation du maltose ou du glucose par une levure ; ainsi se prépare le whisky et la bière (orge), la vodka (blé), le bourbon des États-Unis (seigle prédominant), le </w:t>
      </w:r>
      <w:proofErr w:type="spellStart"/>
      <w:r w:rsidRPr="00BF2D79">
        <w:rPr>
          <w:rFonts w:asciiTheme="majorBidi" w:hAnsiTheme="majorBidi" w:cstheme="majorBidi"/>
          <w:sz w:val="24"/>
          <w:szCs w:val="24"/>
        </w:rPr>
        <w:t>koji</w:t>
      </w:r>
      <w:proofErr w:type="spellEnd"/>
      <w:r w:rsidRPr="00BF2D79">
        <w:rPr>
          <w:rFonts w:asciiTheme="majorBidi" w:hAnsiTheme="majorBidi" w:cstheme="majorBidi"/>
          <w:sz w:val="24"/>
          <w:szCs w:val="24"/>
        </w:rPr>
        <w:t xml:space="preserve"> du Japon (riz), etc. Mais les usages les plus courants concernent la cuisine, soit directement en grains, soit en farine, en amidon (maïzena du maïs) ou en semoule, etc. Dans les pays développés, l'alimentation animale utilise une part croissante de la production de blé et surtout de maïs.</w:t>
      </w:r>
    </w:p>
    <w:p w:rsidR="00EC558C" w:rsidRPr="00BF2D79" w:rsidRDefault="00EC558C" w:rsidP="00EC558C">
      <w:pPr>
        <w:spacing w:line="240" w:lineRule="auto"/>
        <w:jc w:val="both"/>
        <w:rPr>
          <w:rFonts w:asciiTheme="majorBidi" w:hAnsiTheme="majorBidi" w:cstheme="majorBidi"/>
          <w:b/>
          <w:bCs/>
          <w:sz w:val="24"/>
          <w:szCs w:val="24"/>
        </w:rPr>
      </w:pPr>
      <w:r>
        <w:rPr>
          <w:rFonts w:asciiTheme="majorBidi" w:hAnsiTheme="majorBidi" w:cstheme="majorBidi"/>
          <w:b/>
          <w:bCs/>
          <w:sz w:val="24"/>
          <w:szCs w:val="24"/>
        </w:rPr>
        <w:t>I</w:t>
      </w:r>
      <w:r w:rsidRPr="00BF2D79">
        <w:rPr>
          <w:rFonts w:asciiTheme="majorBidi" w:hAnsiTheme="majorBidi" w:cstheme="majorBidi"/>
          <w:b/>
          <w:bCs/>
          <w:sz w:val="24"/>
          <w:szCs w:val="24"/>
        </w:rPr>
        <w:t>.2 LE GRAIN</w:t>
      </w:r>
    </w:p>
    <w:p w:rsidR="00EC558C" w:rsidRPr="00BF2D79" w:rsidRDefault="00EC558C" w:rsidP="00EC558C">
      <w:pPr>
        <w:spacing w:line="240" w:lineRule="auto"/>
        <w:jc w:val="both"/>
        <w:rPr>
          <w:rFonts w:asciiTheme="majorBidi" w:hAnsiTheme="majorBidi" w:cstheme="majorBidi"/>
          <w:b/>
          <w:bCs/>
          <w:sz w:val="24"/>
          <w:szCs w:val="24"/>
        </w:rPr>
      </w:pPr>
      <w:r>
        <w:rPr>
          <w:rFonts w:asciiTheme="majorBidi" w:hAnsiTheme="majorBidi" w:cstheme="majorBidi"/>
          <w:b/>
          <w:bCs/>
          <w:sz w:val="24"/>
          <w:szCs w:val="24"/>
        </w:rPr>
        <w:t>I</w:t>
      </w:r>
      <w:r w:rsidRPr="00BF2D79">
        <w:rPr>
          <w:rFonts w:asciiTheme="majorBidi" w:hAnsiTheme="majorBidi" w:cstheme="majorBidi"/>
          <w:b/>
          <w:bCs/>
          <w:sz w:val="24"/>
          <w:szCs w:val="24"/>
        </w:rPr>
        <w:t>.2.1 Fibres alimentaires</w:t>
      </w:r>
    </w:p>
    <w:p w:rsidR="00EC558C" w:rsidRPr="00BF2D79" w:rsidRDefault="00EC558C" w:rsidP="00EC558C">
      <w:pPr>
        <w:spacing w:line="240" w:lineRule="auto"/>
        <w:jc w:val="both"/>
        <w:rPr>
          <w:rFonts w:asciiTheme="majorBidi" w:hAnsiTheme="majorBidi" w:cstheme="majorBidi"/>
          <w:sz w:val="24"/>
          <w:szCs w:val="24"/>
        </w:rPr>
      </w:pPr>
      <w:r w:rsidRPr="00BF2D79">
        <w:rPr>
          <w:rFonts w:asciiTheme="majorBidi" w:hAnsiTheme="majorBidi" w:cstheme="majorBidi"/>
          <w:sz w:val="24"/>
          <w:szCs w:val="24"/>
        </w:rPr>
        <w:t xml:space="preserve">Avant l'emploi, les graines de céréales sont souvent traitées mécaniquement pour être débarrassées des couches externes formant l'écorce ou téguments. Cette partie est en effet riche en cellulose, en silice et en lignine; elle est peu digeste, sinon inconsommable (« balle » du riz) ; elle renferme les fibres alimentaires. Son élimination favorise la digestibilité, mais elle appauvrit la farine en vitamines et en </w:t>
      </w:r>
      <w:r>
        <w:rPr>
          <w:rFonts w:asciiTheme="majorBidi" w:hAnsiTheme="majorBidi" w:cstheme="majorBidi"/>
          <w:sz w:val="24"/>
          <w:szCs w:val="24"/>
        </w:rPr>
        <w:t>enzymes ; i</w:t>
      </w:r>
      <w:r w:rsidRPr="00BF2D79">
        <w:rPr>
          <w:rFonts w:asciiTheme="majorBidi" w:hAnsiTheme="majorBidi" w:cstheme="majorBidi"/>
          <w:sz w:val="24"/>
          <w:szCs w:val="24"/>
        </w:rPr>
        <w:t>l peut y avoir un problème de santé dans le cas de forte consommation en céréales; par exemple, la carence en vitamine B] dans le riz poli peut être la cause du bé</w:t>
      </w:r>
      <w:r>
        <w:rPr>
          <w:rFonts w:asciiTheme="majorBidi" w:hAnsiTheme="majorBidi" w:cstheme="majorBidi"/>
          <w:sz w:val="24"/>
          <w:szCs w:val="24"/>
        </w:rPr>
        <w:t>ribéri</w:t>
      </w:r>
      <w:r w:rsidRPr="00BF2D79">
        <w:rPr>
          <w:rFonts w:asciiTheme="majorBidi" w:hAnsiTheme="majorBidi" w:cstheme="majorBidi"/>
          <w:sz w:val="24"/>
          <w:szCs w:val="24"/>
        </w:rPr>
        <w:t>.</w:t>
      </w:r>
    </w:p>
    <w:p w:rsidR="00EC558C" w:rsidRPr="00BF2D79" w:rsidRDefault="00EC558C" w:rsidP="00EC558C">
      <w:pPr>
        <w:spacing w:line="240" w:lineRule="auto"/>
        <w:jc w:val="both"/>
        <w:rPr>
          <w:rFonts w:asciiTheme="majorBidi" w:hAnsiTheme="majorBidi" w:cstheme="majorBidi"/>
          <w:sz w:val="24"/>
          <w:szCs w:val="24"/>
        </w:rPr>
      </w:pPr>
      <w:r w:rsidRPr="00BF2D79">
        <w:rPr>
          <w:rFonts w:asciiTheme="majorBidi" w:hAnsiTheme="majorBidi" w:cstheme="majorBidi"/>
          <w:sz w:val="24"/>
          <w:szCs w:val="24"/>
        </w:rPr>
        <w:t xml:space="preserve">On attribue, aujourd'hui, un rôle essentiel aux fibres alimentaires : elles ont un rôle protecteur contre certaines maladies (diverticulose colique, cancer du côlon et du rectum, hernies abdominales et hiatales, hémorroïdes et varices, affections coronariennes et métaboliques). Dans certaines conditions en effet, les fibres agissent sur le transit intestinal et interviennent dans le métabolisme glucidique et lipidique (effets hypocholestérolémiant et hypoglycémiant). Les teneurs en fibres des graines et des farines varient beaucoup selon les </w:t>
      </w:r>
      <w:r w:rsidRPr="00BF2D79">
        <w:rPr>
          <w:rFonts w:asciiTheme="majorBidi" w:hAnsiTheme="majorBidi" w:cstheme="majorBidi"/>
          <w:sz w:val="24"/>
          <w:szCs w:val="24"/>
        </w:rPr>
        <w:lastRenderedPageBreak/>
        <w:t>sources. On peut admettre des valeurs proches de 3 % de l'extrait sec, dans les farines complètes de blé et de soja.</w:t>
      </w:r>
    </w:p>
    <w:p w:rsidR="00EC558C" w:rsidRPr="00BF2D79" w:rsidRDefault="00EC558C" w:rsidP="00EC558C">
      <w:pPr>
        <w:spacing w:line="240" w:lineRule="auto"/>
        <w:jc w:val="both"/>
        <w:rPr>
          <w:rFonts w:asciiTheme="majorBidi" w:hAnsiTheme="majorBidi" w:cstheme="majorBidi"/>
          <w:b/>
          <w:bCs/>
          <w:sz w:val="24"/>
          <w:szCs w:val="24"/>
        </w:rPr>
      </w:pPr>
      <w:r>
        <w:rPr>
          <w:rFonts w:asciiTheme="majorBidi" w:hAnsiTheme="majorBidi" w:cstheme="majorBidi"/>
          <w:b/>
          <w:bCs/>
          <w:sz w:val="24"/>
          <w:szCs w:val="24"/>
        </w:rPr>
        <w:t>I</w:t>
      </w:r>
      <w:r w:rsidRPr="00BF2D79">
        <w:rPr>
          <w:rFonts w:asciiTheme="majorBidi" w:hAnsiTheme="majorBidi" w:cstheme="majorBidi"/>
          <w:b/>
          <w:bCs/>
          <w:sz w:val="24"/>
          <w:szCs w:val="24"/>
        </w:rPr>
        <w:t>.2.2 Composition du grain de blé</w:t>
      </w:r>
    </w:p>
    <w:p w:rsidR="00EC558C" w:rsidRPr="00BF2D79" w:rsidRDefault="00EC558C" w:rsidP="00EC558C">
      <w:pPr>
        <w:spacing w:line="240" w:lineRule="auto"/>
        <w:jc w:val="both"/>
        <w:rPr>
          <w:rFonts w:asciiTheme="majorBidi" w:hAnsiTheme="majorBidi" w:cstheme="majorBidi"/>
          <w:sz w:val="24"/>
          <w:szCs w:val="24"/>
        </w:rPr>
      </w:pPr>
      <w:r w:rsidRPr="00BF2D79">
        <w:rPr>
          <w:rFonts w:asciiTheme="majorBidi" w:hAnsiTheme="majorBidi" w:cstheme="majorBidi"/>
          <w:sz w:val="24"/>
          <w:szCs w:val="24"/>
        </w:rPr>
        <w:t>Dans le cas du blé, les parties principales du grain ont les caractéristiques indiquées dans le tableau 10.3. La couche à aleurone, qui entoure l'amande d'albumen, est riche en protéines, en minéraux et en vitamines ; elle est en général éliminée avec le son lors du tamisage de la farine brute au taux habituel de l'extraction (en France, 75 à 80% des grains moulus); en revanche, elle se trouve dans les farines « complètes », qui sont ainsi enrichies en acides aminés indispensables (Met, Val, Leu, Lys). L'albumen étant plus lourd que l'écorce, le rendement en farine est plus important lorsque le poids spécifique du blé est élevé. Les farines sont également caractérisées par leur teneur en cendres, qui est d'autant plus basse que le taux d'extraction est plus faible : farine panifiable entre 0,5 et 0,6%, farine de biscuiterie moins de 0,5 %.</w:t>
      </w:r>
    </w:p>
    <w:p w:rsidR="00EC558C" w:rsidRDefault="00EC558C" w:rsidP="00EC558C">
      <w:pPr>
        <w:spacing w:line="240" w:lineRule="auto"/>
        <w:jc w:val="both"/>
        <w:rPr>
          <w:rFonts w:asciiTheme="majorBidi" w:hAnsiTheme="majorBidi" w:cstheme="majorBidi"/>
          <w:b/>
          <w:bCs/>
          <w:sz w:val="24"/>
          <w:szCs w:val="24"/>
        </w:rPr>
      </w:pPr>
      <w:r w:rsidRPr="00BF2D79">
        <w:rPr>
          <w:rFonts w:asciiTheme="majorBidi" w:hAnsiTheme="majorBidi" w:cstheme="majorBidi"/>
          <w:b/>
          <w:bCs/>
          <w:sz w:val="24"/>
          <w:szCs w:val="24"/>
        </w:rPr>
        <w:t>Tableau 10.3 LES PARTIES PRINCIPALES DU GRAIN DE BLÉ (% DU POIDS SEC).</w:t>
      </w:r>
    </w:p>
    <w:p w:rsidR="00EC558C" w:rsidRPr="00BF2D79" w:rsidRDefault="00EC558C" w:rsidP="00EC558C">
      <w:pPr>
        <w:spacing w:line="240" w:lineRule="auto"/>
        <w:jc w:val="both"/>
        <w:rPr>
          <w:rFonts w:asciiTheme="majorBidi" w:hAnsiTheme="majorBidi" w:cstheme="majorBidi"/>
          <w:b/>
          <w:bCs/>
          <w:sz w:val="24"/>
          <w:szCs w:val="24"/>
        </w:rPr>
      </w:pPr>
      <w:r>
        <w:rPr>
          <w:rFonts w:asciiTheme="majorBidi" w:hAnsiTheme="majorBidi" w:cstheme="majorBidi"/>
          <w:b/>
          <w:bCs/>
          <w:noProof/>
          <w:sz w:val="24"/>
          <w:szCs w:val="24"/>
          <w:lang w:eastAsia="fr-FR"/>
        </w:rPr>
        <w:drawing>
          <wp:inline distT="0" distB="0" distL="0" distR="0">
            <wp:extent cx="6124575" cy="1590675"/>
            <wp:effectExtent l="19050" t="0" r="0" b="0"/>
            <wp:docPr id="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6120130" cy="1589521"/>
                    </a:xfrm>
                    <a:prstGeom prst="rect">
                      <a:avLst/>
                    </a:prstGeom>
                    <a:noFill/>
                    <a:ln w="9525">
                      <a:noFill/>
                      <a:miter lim="800000"/>
                      <a:headEnd/>
                      <a:tailEnd/>
                    </a:ln>
                  </pic:spPr>
                </pic:pic>
              </a:graphicData>
            </a:graphic>
          </wp:inline>
        </w:drawing>
      </w:r>
    </w:p>
    <w:p w:rsidR="00EC558C" w:rsidRPr="00BF2D79" w:rsidRDefault="00EC558C" w:rsidP="00EC558C">
      <w:pPr>
        <w:autoSpaceDE w:val="0"/>
        <w:autoSpaceDN w:val="0"/>
        <w:adjustRightInd w:val="0"/>
        <w:spacing w:after="0" w:line="240" w:lineRule="auto"/>
        <w:jc w:val="both"/>
        <w:rPr>
          <w:rFonts w:asciiTheme="majorBidi" w:hAnsiTheme="majorBidi" w:cstheme="majorBidi"/>
          <w:b/>
          <w:bCs/>
          <w:sz w:val="24"/>
          <w:szCs w:val="24"/>
        </w:rPr>
      </w:pPr>
    </w:p>
    <w:p w:rsidR="00EC558C" w:rsidRPr="00BF2D79" w:rsidRDefault="00EC558C" w:rsidP="00EC558C">
      <w:pPr>
        <w:autoSpaceDE w:val="0"/>
        <w:autoSpaceDN w:val="0"/>
        <w:adjustRightInd w:val="0"/>
        <w:spacing w:after="0" w:line="240" w:lineRule="auto"/>
        <w:jc w:val="both"/>
        <w:rPr>
          <w:rFonts w:asciiTheme="majorBidi" w:hAnsiTheme="majorBidi" w:cstheme="majorBidi"/>
          <w:sz w:val="24"/>
          <w:szCs w:val="24"/>
        </w:rPr>
      </w:pPr>
      <w:r w:rsidRPr="00BF2D79">
        <w:rPr>
          <w:rFonts w:asciiTheme="majorBidi" w:hAnsiTheme="majorBidi" w:cstheme="majorBidi"/>
          <w:sz w:val="24"/>
          <w:szCs w:val="24"/>
        </w:rPr>
        <w:t xml:space="preserve">Le constituant dominant de la farine de céréales est toujours l'amidon. La farine de blé contient 12-14% d'eau pour environ 75 % d'amidon. C'est pour le grain un élément de réserve, un peu comparable aux graisses chez les animaux. I l est réparti dans l'albumen en granules indépendants, dont le diamètre et la forme varient avec l'espèce; dans le grain de blé, leur dimension varie de 2 à 35 </w:t>
      </w:r>
      <w:proofErr w:type="spellStart"/>
      <w:r w:rsidRPr="00BF2D79">
        <w:rPr>
          <w:rFonts w:asciiTheme="majorBidi" w:hAnsiTheme="majorBidi" w:cstheme="majorBidi"/>
          <w:sz w:val="24"/>
          <w:szCs w:val="24"/>
        </w:rPr>
        <w:t>um</w:t>
      </w:r>
      <w:proofErr w:type="spellEnd"/>
      <w:r w:rsidRPr="00BF2D79">
        <w:rPr>
          <w:rFonts w:asciiTheme="majorBidi" w:hAnsiTheme="majorBidi" w:cstheme="majorBidi"/>
          <w:sz w:val="24"/>
          <w:szCs w:val="24"/>
        </w:rPr>
        <w:t xml:space="preserve">. Les granules d'amidon sont visibles au microscope à faible grossissement; ils sont caractérisés par la présence d'un « hile » plus ou moins marqué (voir fig. 3.1). Les protéines de réserve se trouvent dispersées sous forme de globules plus petits (2 à 6 </w:t>
      </w:r>
      <w:proofErr w:type="spellStart"/>
      <w:r w:rsidRPr="00BF2D79">
        <w:rPr>
          <w:rFonts w:asciiTheme="majorBidi" w:hAnsiTheme="majorBidi" w:cstheme="majorBidi"/>
          <w:sz w:val="24"/>
          <w:szCs w:val="24"/>
        </w:rPr>
        <w:t>u.m</w:t>
      </w:r>
      <w:proofErr w:type="spellEnd"/>
      <w:r w:rsidRPr="00BF2D79">
        <w:rPr>
          <w:rFonts w:asciiTheme="majorBidi" w:hAnsiTheme="majorBidi" w:cstheme="majorBidi"/>
          <w:sz w:val="24"/>
          <w:szCs w:val="24"/>
        </w:rPr>
        <w:t>) ; ces « corps protéiques » sont, dans certaines espèces, dont le blé, soumis à une désorganisation. Dans le grain de blé mûr, les protéines de réserve sont à l'état de ciment autour des granules d'amidon. Bien que ces protéines soient environ 8 fois moins abondantes que l'amidon, dans la farine, ce sont elles qui présentent le plus d'originalité et qui seront décrites ici.</w:t>
      </w:r>
    </w:p>
    <w:p w:rsidR="00EC558C" w:rsidRPr="00BF2D79" w:rsidRDefault="00EC558C" w:rsidP="00EC558C">
      <w:pPr>
        <w:autoSpaceDE w:val="0"/>
        <w:autoSpaceDN w:val="0"/>
        <w:adjustRightInd w:val="0"/>
        <w:spacing w:after="0" w:line="240" w:lineRule="auto"/>
        <w:jc w:val="both"/>
        <w:rPr>
          <w:rFonts w:asciiTheme="majorBidi" w:hAnsiTheme="majorBidi" w:cstheme="majorBidi"/>
          <w:b/>
          <w:bCs/>
          <w:sz w:val="24"/>
          <w:szCs w:val="24"/>
        </w:rPr>
      </w:pPr>
      <w:r>
        <w:rPr>
          <w:rFonts w:asciiTheme="majorBidi" w:hAnsiTheme="majorBidi" w:cstheme="majorBidi"/>
          <w:b/>
          <w:bCs/>
          <w:sz w:val="24"/>
          <w:szCs w:val="24"/>
        </w:rPr>
        <w:t>I</w:t>
      </w:r>
      <w:r w:rsidRPr="00BF2D79">
        <w:rPr>
          <w:rFonts w:asciiTheme="majorBidi" w:hAnsiTheme="majorBidi" w:cstheme="majorBidi"/>
          <w:b/>
          <w:bCs/>
          <w:sz w:val="24"/>
          <w:szCs w:val="24"/>
        </w:rPr>
        <w:t>.3 PROTÉINES DE RÉSERVE</w:t>
      </w:r>
    </w:p>
    <w:p w:rsidR="00EC558C" w:rsidRPr="00BF2D79" w:rsidRDefault="00EC558C" w:rsidP="00EC558C">
      <w:pPr>
        <w:autoSpaceDE w:val="0"/>
        <w:autoSpaceDN w:val="0"/>
        <w:adjustRightInd w:val="0"/>
        <w:spacing w:after="0" w:line="240" w:lineRule="auto"/>
        <w:jc w:val="both"/>
        <w:rPr>
          <w:rFonts w:asciiTheme="majorBidi" w:hAnsiTheme="majorBidi" w:cstheme="majorBidi"/>
          <w:sz w:val="24"/>
          <w:szCs w:val="24"/>
        </w:rPr>
      </w:pPr>
      <w:r w:rsidRPr="00BF2D79">
        <w:rPr>
          <w:rFonts w:asciiTheme="majorBidi" w:hAnsiTheme="majorBidi" w:cstheme="majorBidi"/>
          <w:sz w:val="24"/>
          <w:szCs w:val="24"/>
        </w:rPr>
        <w:t>Appelées aussi « protéines du gluten » dans le cas des céréales qui donnent lieu au phénomène suivant : en pétrissant la farine sous un courant d'eau, on obtient une masse visqueuse et élastique, le gluten, qui se libère de l'amidon. La notion de « gluten » est quelque peu artificielle. Cette substance protéique se forme par modification des liaisons disulfure ; le pétrissage fournit l'énergie nécessaire. Elle n'apparaît que chez le blé et ses espèces proches (</w:t>
      </w:r>
      <w:proofErr w:type="spellStart"/>
      <w:r w:rsidRPr="00BF2D79">
        <w:rPr>
          <w:rFonts w:asciiTheme="majorBidi" w:hAnsiTheme="majorBidi" w:cstheme="majorBidi"/>
          <w:sz w:val="24"/>
          <w:szCs w:val="24"/>
        </w:rPr>
        <w:t>kamut</w:t>
      </w:r>
      <w:proofErr w:type="spellEnd"/>
      <w:r w:rsidRPr="00BF2D79">
        <w:rPr>
          <w:rFonts w:asciiTheme="majorBidi" w:hAnsiTheme="majorBidi" w:cstheme="majorBidi"/>
          <w:sz w:val="24"/>
          <w:szCs w:val="24"/>
        </w:rPr>
        <w:t xml:space="preserve">, </w:t>
      </w:r>
      <w:proofErr w:type="spellStart"/>
      <w:r w:rsidRPr="00BF2D79">
        <w:rPr>
          <w:rFonts w:asciiTheme="majorBidi" w:hAnsiTheme="majorBidi" w:cstheme="majorBidi"/>
          <w:sz w:val="24"/>
          <w:szCs w:val="24"/>
        </w:rPr>
        <w:t>épautre</w:t>
      </w:r>
      <w:proofErr w:type="spellEnd"/>
      <w:r w:rsidRPr="00BF2D79">
        <w:rPr>
          <w:rFonts w:asciiTheme="majorBidi" w:hAnsiTheme="majorBidi" w:cstheme="majorBidi"/>
          <w:sz w:val="24"/>
          <w:szCs w:val="24"/>
        </w:rPr>
        <w:t>) ainsi que chez le seigle. Les farines de ces céréales sont donc panifiables. Le tableau 10.2 représente les proportions de ces protéines. On voit que les farines de blé, de seigle et à un moindre degré de sorgho ont des compositions voisines, avec des valeurs approximatives égales des deux types vers 40 %.</w:t>
      </w:r>
    </w:p>
    <w:p w:rsidR="00EC558C" w:rsidRPr="00BF2D79" w:rsidRDefault="00EC558C" w:rsidP="00EC558C">
      <w:pPr>
        <w:autoSpaceDE w:val="0"/>
        <w:autoSpaceDN w:val="0"/>
        <w:adjustRightInd w:val="0"/>
        <w:spacing w:after="0" w:line="240" w:lineRule="auto"/>
        <w:jc w:val="both"/>
        <w:rPr>
          <w:rFonts w:asciiTheme="majorBidi" w:hAnsiTheme="majorBidi" w:cstheme="majorBidi"/>
          <w:sz w:val="24"/>
          <w:szCs w:val="24"/>
        </w:rPr>
      </w:pPr>
      <w:r w:rsidRPr="00BF2D79">
        <w:rPr>
          <w:rFonts w:asciiTheme="majorBidi" w:hAnsiTheme="majorBidi" w:cstheme="majorBidi"/>
          <w:sz w:val="24"/>
          <w:szCs w:val="24"/>
        </w:rPr>
        <w:t>• Prolamines : protéines solubles dans l'éthanol assez concentré, dont le nom change</w:t>
      </w:r>
    </w:p>
    <w:p w:rsidR="00EC558C" w:rsidRPr="00BF2D79" w:rsidRDefault="00EC558C" w:rsidP="00EC558C">
      <w:pPr>
        <w:autoSpaceDE w:val="0"/>
        <w:autoSpaceDN w:val="0"/>
        <w:adjustRightInd w:val="0"/>
        <w:spacing w:after="0" w:line="240" w:lineRule="auto"/>
        <w:jc w:val="both"/>
        <w:rPr>
          <w:rFonts w:asciiTheme="majorBidi" w:hAnsiTheme="majorBidi" w:cstheme="majorBidi"/>
          <w:sz w:val="24"/>
          <w:szCs w:val="24"/>
        </w:rPr>
      </w:pPr>
      <w:proofErr w:type="gramStart"/>
      <w:r w:rsidRPr="00BF2D79">
        <w:rPr>
          <w:rFonts w:asciiTheme="majorBidi" w:hAnsiTheme="majorBidi" w:cstheme="majorBidi"/>
          <w:sz w:val="24"/>
          <w:szCs w:val="24"/>
        </w:rPr>
        <w:lastRenderedPageBreak/>
        <w:t>avec</w:t>
      </w:r>
      <w:proofErr w:type="gramEnd"/>
      <w:r w:rsidRPr="00BF2D79">
        <w:rPr>
          <w:rFonts w:asciiTheme="majorBidi" w:hAnsiTheme="majorBidi" w:cstheme="majorBidi"/>
          <w:sz w:val="24"/>
          <w:szCs w:val="24"/>
        </w:rPr>
        <w:t xml:space="preserve"> l'espèce : gliadine du blé, hordéine de l'orge, </w:t>
      </w:r>
      <w:proofErr w:type="spellStart"/>
      <w:r w:rsidRPr="00BF2D79">
        <w:rPr>
          <w:rFonts w:asciiTheme="majorBidi" w:hAnsiTheme="majorBidi" w:cstheme="majorBidi"/>
          <w:sz w:val="24"/>
          <w:szCs w:val="24"/>
        </w:rPr>
        <w:t>sécaline</w:t>
      </w:r>
      <w:proofErr w:type="spellEnd"/>
      <w:r w:rsidRPr="00BF2D79">
        <w:rPr>
          <w:rFonts w:asciiTheme="majorBidi" w:hAnsiTheme="majorBidi" w:cstheme="majorBidi"/>
          <w:sz w:val="24"/>
          <w:szCs w:val="24"/>
        </w:rPr>
        <w:t xml:space="preserve"> du seigle, </w:t>
      </w:r>
      <w:proofErr w:type="spellStart"/>
      <w:r w:rsidRPr="00BF2D79">
        <w:rPr>
          <w:rFonts w:asciiTheme="majorBidi" w:hAnsiTheme="majorBidi" w:cstheme="majorBidi"/>
          <w:sz w:val="24"/>
          <w:szCs w:val="24"/>
        </w:rPr>
        <w:t>avénine</w:t>
      </w:r>
      <w:proofErr w:type="spellEnd"/>
      <w:r w:rsidRPr="00BF2D79">
        <w:rPr>
          <w:rFonts w:asciiTheme="majorBidi" w:hAnsiTheme="majorBidi" w:cstheme="majorBidi"/>
          <w:sz w:val="24"/>
          <w:szCs w:val="24"/>
        </w:rPr>
        <w:t xml:space="preserve"> de l'avoine, etc.</w:t>
      </w:r>
    </w:p>
    <w:p w:rsidR="00EC558C" w:rsidRDefault="00EC558C" w:rsidP="00EC558C">
      <w:pPr>
        <w:autoSpaceDE w:val="0"/>
        <w:autoSpaceDN w:val="0"/>
        <w:adjustRightInd w:val="0"/>
        <w:spacing w:after="0" w:line="240" w:lineRule="auto"/>
        <w:jc w:val="both"/>
        <w:rPr>
          <w:rFonts w:asciiTheme="majorBidi" w:hAnsiTheme="majorBidi" w:cstheme="majorBidi"/>
          <w:sz w:val="24"/>
          <w:szCs w:val="24"/>
        </w:rPr>
      </w:pPr>
      <w:r w:rsidRPr="00BF2D79">
        <w:rPr>
          <w:rFonts w:asciiTheme="majorBidi" w:hAnsiTheme="majorBidi" w:cstheme="majorBidi"/>
          <w:sz w:val="24"/>
          <w:szCs w:val="24"/>
        </w:rPr>
        <w:t xml:space="preserve">• </w:t>
      </w:r>
      <w:proofErr w:type="spellStart"/>
      <w:r w:rsidRPr="00BF2D79">
        <w:rPr>
          <w:rFonts w:asciiTheme="majorBidi" w:hAnsiTheme="majorBidi" w:cstheme="majorBidi"/>
          <w:sz w:val="24"/>
          <w:szCs w:val="24"/>
        </w:rPr>
        <w:t>Glutélines</w:t>
      </w:r>
      <w:proofErr w:type="spellEnd"/>
      <w:r w:rsidRPr="00BF2D79">
        <w:rPr>
          <w:rFonts w:asciiTheme="majorBidi" w:hAnsiTheme="majorBidi" w:cstheme="majorBidi"/>
          <w:sz w:val="24"/>
          <w:szCs w:val="24"/>
        </w:rPr>
        <w:t xml:space="preserve"> : protéines solubles dans les solutions acides ou alcalines diluées, ou dans les agents </w:t>
      </w:r>
      <w:proofErr w:type="spellStart"/>
      <w:r w:rsidRPr="00BF2D79">
        <w:rPr>
          <w:rFonts w:asciiTheme="majorBidi" w:hAnsiTheme="majorBidi" w:cstheme="majorBidi"/>
          <w:sz w:val="24"/>
          <w:szCs w:val="24"/>
        </w:rPr>
        <w:t>dissociants</w:t>
      </w:r>
      <w:proofErr w:type="spellEnd"/>
      <w:r w:rsidRPr="00BF2D79">
        <w:rPr>
          <w:rFonts w:asciiTheme="majorBidi" w:hAnsiTheme="majorBidi" w:cstheme="majorBidi"/>
          <w:sz w:val="24"/>
          <w:szCs w:val="24"/>
        </w:rPr>
        <w:t xml:space="preserve"> (urée, guanidine, SDS). La composition en acides aminés (tableau 10.4), révèle, par comparaison avec la globuline, une teneur très élevée en glutamine, une teneur élevée en proline et une teneur très faible en acides aminés basiques (Lys, </w:t>
      </w:r>
      <w:proofErr w:type="spellStart"/>
      <w:r w:rsidRPr="00BF2D79">
        <w:rPr>
          <w:rFonts w:asciiTheme="majorBidi" w:hAnsiTheme="majorBidi" w:cstheme="majorBidi"/>
          <w:sz w:val="24"/>
          <w:szCs w:val="24"/>
        </w:rPr>
        <w:t>His</w:t>
      </w:r>
      <w:proofErr w:type="spellEnd"/>
      <w:r w:rsidRPr="00BF2D79">
        <w:rPr>
          <w:rFonts w:asciiTheme="majorBidi" w:hAnsiTheme="majorBidi" w:cstheme="majorBidi"/>
          <w:sz w:val="24"/>
          <w:szCs w:val="24"/>
        </w:rPr>
        <w:t xml:space="preserve">, </w:t>
      </w:r>
      <w:proofErr w:type="spellStart"/>
      <w:r w:rsidRPr="00BF2D79">
        <w:rPr>
          <w:rFonts w:asciiTheme="majorBidi" w:hAnsiTheme="majorBidi" w:cstheme="majorBidi"/>
          <w:sz w:val="24"/>
          <w:szCs w:val="24"/>
        </w:rPr>
        <w:t>Arg</w:t>
      </w:r>
      <w:proofErr w:type="spellEnd"/>
      <w:r w:rsidRPr="00BF2D79">
        <w:rPr>
          <w:rFonts w:asciiTheme="majorBidi" w:hAnsiTheme="majorBidi" w:cstheme="majorBidi"/>
          <w:sz w:val="24"/>
          <w:szCs w:val="24"/>
        </w:rPr>
        <w:t>). On peut en conclure que les protéines du gluten sont peu chargées à pH neutre (</w:t>
      </w:r>
      <w:proofErr w:type="spellStart"/>
      <w:r w:rsidRPr="00BF2D79">
        <w:rPr>
          <w:rFonts w:asciiTheme="majorBidi" w:hAnsiTheme="majorBidi" w:cstheme="majorBidi"/>
          <w:sz w:val="24"/>
          <w:szCs w:val="24"/>
        </w:rPr>
        <w:t>pHi</w:t>
      </w:r>
      <w:proofErr w:type="spellEnd"/>
      <w:r w:rsidRPr="00BF2D79">
        <w:rPr>
          <w:rFonts w:asciiTheme="majorBidi" w:hAnsiTheme="majorBidi" w:cstheme="majorBidi"/>
          <w:sz w:val="24"/>
          <w:szCs w:val="24"/>
        </w:rPr>
        <w:t xml:space="preserve"> proche de 7), et que les interactions électrostatiques n'ont pas un rôle important en panification. En revanche, la formation de liaisons hydrogène, surtout par la glutamine, est importante, associée aux interactions hydrophobes ; environ 74 </w:t>
      </w:r>
      <w:r w:rsidRPr="00BF2D79">
        <w:rPr>
          <w:rFonts w:asciiTheme="majorBidi" w:hAnsiTheme="majorBidi" w:cstheme="majorBidi"/>
          <w:i/>
          <w:iCs/>
          <w:sz w:val="24"/>
          <w:szCs w:val="24"/>
        </w:rPr>
        <w:t xml:space="preserve">% </w:t>
      </w:r>
      <w:r w:rsidRPr="00BF2D79">
        <w:rPr>
          <w:rFonts w:asciiTheme="majorBidi" w:hAnsiTheme="majorBidi" w:cstheme="majorBidi"/>
          <w:sz w:val="24"/>
          <w:szCs w:val="24"/>
        </w:rPr>
        <w:t xml:space="preserve">des chaînes latérales de chacune des deux protéines sont aptes à former ces liaisons et interactions dans l'établissement de la pâte. On notera encore la teneur très faible en lysine, et la teneur faible en tryptophane. Dans certaines gliadines, comme la zéine du maïs, ces teneurs tendent vers zéro. I l en résulte des effets sur la santé des populations ; en particulier dans les régions où le maïs est à la base de l'alimentation (pellagre dans les Balkans). Des mutants biochimiques de maïs et d'orge ont été obtenus dans lesquels le rapport </w:t>
      </w:r>
      <w:proofErr w:type="spellStart"/>
      <w:r w:rsidRPr="00BF2D79">
        <w:rPr>
          <w:rFonts w:asciiTheme="majorBidi" w:hAnsiTheme="majorBidi" w:cstheme="majorBidi"/>
          <w:sz w:val="24"/>
          <w:szCs w:val="24"/>
        </w:rPr>
        <w:t>gluténine</w:t>
      </w:r>
      <w:proofErr w:type="spellEnd"/>
      <w:r w:rsidRPr="00BF2D79">
        <w:rPr>
          <w:rFonts w:asciiTheme="majorBidi" w:hAnsiTheme="majorBidi" w:cstheme="majorBidi"/>
          <w:sz w:val="24"/>
          <w:szCs w:val="24"/>
        </w:rPr>
        <w:t>/prolamine est fortement accru, ce qui provoque un accroissement de la teneur en lysine (de 3 à 4 % pour l'orge). Mais i l faut signaler que les mutants ont une moindre production d'amidon et un rendement en grains abaissé. On observe que la teneur en lysine est corrélée négativement avec la teneur en protéines du grain, et que cette dernière est corrélée négativement avec le rendement en grains.</w:t>
      </w:r>
    </w:p>
    <w:p w:rsidR="00966A20" w:rsidRPr="00BF2D79" w:rsidRDefault="00966A20" w:rsidP="00EC558C">
      <w:pPr>
        <w:autoSpaceDE w:val="0"/>
        <w:autoSpaceDN w:val="0"/>
        <w:adjustRightInd w:val="0"/>
        <w:spacing w:after="0" w:line="240" w:lineRule="auto"/>
        <w:jc w:val="both"/>
        <w:rPr>
          <w:rFonts w:asciiTheme="majorBidi" w:hAnsiTheme="majorBidi" w:cstheme="majorBidi"/>
          <w:sz w:val="24"/>
          <w:szCs w:val="24"/>
        </w:rPr>
      </w:pPr>
    </w:p>
    <w:p w:rsidR="00EC558C" w:rsidRDefault="00EC558C" w:rsidP="00EC558C">
      <w:pPr>
        <w:autoSpaceDE w:val="0"/>
        <w:autoSpaceDN w:val="0"/>
        <w:adjustRightInd w:val="0"/>
        <w:spacing w:after="0" w:line="240" w:lineRule="auto"/>
        <w:jc w:val="both"/>
        <w:rPr>
          <w:rFonts w:asciiTheme="majorBidi" w:hAnsiTheme="majorBidi" w:cstheme="majorBidi"/>
          <w:sz w:val="24"/>
          <w:szCs w:val="24"/>
        </w:rPr>
      </w:pPr>
      <w:r w:rsidRPr="00BF2D79">
        <w:rPr>
          <w:rFonts w:asciiTheme="majorBidi" w:hAnsiTheme="majorBidi" w:cstheme="majorBidi"/>
          <w:b/>
          <w:bCs/>
          <w:sz w:val="24"/>
          <w:szCs w:val="24"/>
        </w:rPr>
        <w:t xml:space="preserve">Tableau 10.4 : </w:t>
      </w:r>
      <w:r w:rsidRPr="00BF2D79">
        <w:rPr>
          <w:rFonts w:asciiTheme="majorBidi" w:hAnsiTheme="majorBidi" w:cstheme="majorBidi"/>
          <w:sz w:val="24"/>
          <w:szCs w:val="24"/>
        </w:rPr>
        <w:t>COMPOSITION DES PROTÉINES DU BLÉ (RÉSIDUS POUR CENT RÉSIDUS</w:t>
      </w:r>
    </w:p>
    <w:p w:rsidR="00EC558C" w:rsidRPr="00BF2D79" w:rsidRDefault="00EC558C" w:rsidP="00EC558C">
      <w:pPr>
        <w:autoSpaceDE w:val="0"/>
        <w:autoSpaceDN w:val="0"/>
        <w:adjustRightInd w:val="0"/>
        <w:spacing w:after="0" w:line="240" w:lineRule="auto"/>
        <w:jc w:val="both"/>
        <w:rPr>
          <w:rFonts w:asciiTheme="majorBidi" w:hAnsiTheme="majorBidi" w:cstheme="majorBidi"/>
          <w:sz w:val="24"/>
          <w:szCs w:val="24"/>
        </w:rPr>
      </w:pPr>
    </w:p>
    <w:p w:rsidR="00EC558C" w:rsidRPr="00BF2D79" w:rsidRDefault="00EC558C" w:rsidP="00EC558C">
      <w:pPr>
        <w:autoSpaceDE w:val="0"/>
        <w:autoSpaceDN w:val="0"/>
        <w:adjustRightInd w:val="0"/>
        <w:spacing w:after="0" w:line="240" w:lineRule="auto"/>
        <w:jc w:val="both"/>
        <w:rPr>
          <w:rFonts w:asciiTheme="majorBidi" w:hAnsiTheme="majorBidi" w:cstheme="majorBidi"/>
          <w:sz w:val="24"/>
          <w:szCs w:val="24"/>
        </w:rPr>
      </w:pPr>
      <w:r>
        <w:rPr>
          <w:rFonts w:asciiTheme="majorBidi" w:hAnsiTheme="majorBidi" w:cstheme="majorBidi"/>
          <w:noProof/>
          <w:sz w:val="24"/>
          <w:szCs w:val="24"/>
          <w:lang w:eastAsia="fr-FR"/>
        </w:rPr>
        <w:drawing>
          <wp:inline distT="0" distB="0" distL="0" distR="0">
            <wp:extent cx="6120130" cy="4324453"/>
            <wp:effectExtent l="19050" t="0" r="0" b="0"/>
            <wp:docPr id="6"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6120130" cy="4324453"/>
                    </a:xfrm>
                    <a:prstGeom prst="rect">
                      <a:avLst/>
                    </a:prstGeom>
                    <a:noFill/>
                    <a:ln w="9525">
                      <a:noFill/>
                      <a:miter lim="800000"/>
                      <a:headEnd/>
                      <a:tailEnd/>
                    </a:ln>
                  </pic:spPr>
                </pic:pic>
              </a:graphicData>
            </a:graphic>
          </wp:inline>
        </w:drawing>
      </w:r>
    </w:p>
    <w:p w:rsidR="00EC558C" w:rsidRPr="00BF2D79" w:rsidRDefault="00EC558C" w:rsidP="00EC558C">
      <w:pPr>
        <w:autoSpaceDE w:val="0"/>
        <w:autoSpaceDN w:val="0"/>
        <w:adjustRightInd w:val="0"/>
        <w:spacing w:after="0" w:line="240" w:lineRule="auto"/>
        <w:jc w:val="both"/>
        <w:rPr>
          <w:rFonts w:asciiTheme="majorBidi" w:hAnsiTheme="majorBidi" w:cstheme="majorBidi"/>
          <w:sz w:val="24"/>
          <w:szCs w:val="24"/>
        </w:rPr>
      </w:pPr>
    </w:p>
    <w:p w:rsidR="00EC558C" w:rsidRDefault="00EC558C" w:rsidP="00EC558C">
      <w:pPr>
        <w:autoSpaceDE w:val="0"/>
        <w:autoSpaceDN w:val="0"/>
        <w:adjustRightInd w:val="0"/>
        <w:spacing w:after="0" w:line="240" w:lineRule="auto"/>
        <w:jc w:val="both"/>
        <w:rPr>
          <w:rFonts w:asciiTheme="majorBidi" w:hAnsiTheme="majorBidi" w:cstheme="majorBidi"/>
          <w:b/>
          <w:bCs/>
          <w:sz w:val="24"/>
          <w:szCs w:val="24"/>
        </w:rPr>
      </w:pPr>
    </w:p>
    <w:p w:rsidR="00966A20" w:rsidRDefault="00966A20" w:rsidP="00EC558C">
      <w:pPr>
        <w:autoSpaceDE w:val="0"/>
        <w:autoSpaceDN w:val="0"/>
        <w:adjustRightInd w:val="0"/>
        <w:spacing w:after="0" w:line="240" w:lineRule="auto"/>
        <w:jc w:val="both"/>
        <w:rPr>
          <w:rFonts w:asciiTheme="majorBidi" w:hAnsiTheme="majorBidi" w:cstheme="majorBidi"/>
          <w:b/>
          <w:bCs/>
          <w:sz w:val="24"/>
          <w:szCs w:val="24"/>
        </w:rPr>
      </w:pPr>
    </w:p>
    <w:p w:rsidR="00EC558C" w:rsidRDefault="00EC558C" w:rsidP="00EC558C">
      <w:pPr>
        <w:autoSpaceDE w:val="0"/>
        <w:autoSpaceDN w:val="0"/>
        <w:adjustRightInd w:val="0"/>
        <w:spacing w:after="0" w:line="240" w:lineRule="auto"/>
        <w:jc w:val="both"/>
        <w:rPr>
          <w:rFonts w:asciiTheme="majorBidi" w:hAnsiTheme="majorBidi" w:cstheme="majorBidi"/>
          <w:b/>
          <w:bCs/>
          <w:sz w:val="24"/>
          <w:szCs w:val="24"/>
        </w:rPr>
      </w:pPr>
    </w:p>
    <w:p w:rsidR="00EC558C" w:rsidRPr="00BF2D79" w:rsidRDefault="00EC558C" w:rsidP="00EC558C">
      <w:pPr>
        <w:autoSpaceDE w:val="0"/>
        <w:autoSpaceDN w:val="0"/>
        <w:adjustRightInd w:val="0"/>
        <w:spacing w:after="0" w:line="240" w:lineRule="auto"/>
        <w:jc w:val="both"/>
        <w:rPr>
          <w:rFonts w:asciiTheme="majorBidi" w:hAnsiTheme="majorBidi" w:cstheme="majorBidi"/>
          <w:b/>
          <w:bCs/>
          <w:sz w:val="24"/>
          <w:szCs w:val="24"/>
        </w:rPr>
      </w:pPr>
      <w:r>
        <w:rPr>
          <w:rFonts w:asciiTheme="majorBidi" w:hAnsiTheme="majorBidi" w:cstheme="majorBidi"/>
          <w:b/>
          <w:bCs/>
          <w:sz w:val="24"/>
          <w:szCs w:val="24"/>
        </w:rPr>
        <w:t>I</w:t>
      </w:r>
      <w:r w:rsidRPr="00BF2D79">
        <w:rPr>
          <w:rFonts w:asciiTheme="majorBidi" w:hAnsiTheme="majorBidi" w:cstheme="majorBidi"/>
          <w:b/>
          <w:bCs/>
          <w:sz w:val="24"/>
          <w:szCs w:val="24"/>
        </w:rPr>
        <w:t>.4 LES GLIADINES DU BLÉ</w:t>
      </w:r>
    </w:p>
    <w:p w:rsidR="00EC558C" w:rsidRPr="00BF2D79" w:rsidRDefault="00EC558C" w:rsidP="00EC558C">
      <w:pPr>
        <w:autoSpaceDE w:val="0"/>
        <w:autoSpaceDN w:val="0"/>
        <w:adjustRightInd w:val="0"/>
        <w:spacing w:after="0" w:line="240" w:lineRule="auto"/>
        <w:jc w:val="both"/>
        <w:rPr>
          <w:rFonts w:asciiTheme="majorBidi" w:hAnsiTheme="majorBidi" w:cstheme="majorBidi"/>
          <w:sz w:val="24"/>
          <w:szCs w:val="24"/>
        </w:rPr>
      </w:pPr>
      <w:r w:rsidRPr="00BF2D79">
        <w:rPr>
          <w:rFonts w:asciiTheme="majorBidi" w:hAnsiTheme="majorBidi" w:cstheme="majorBidi"/>
          <w:sz w:val="24"/>
          <w:szCs w:val="24"/>
        </w:rPr>
        <w:t xml:space="preserve">Elles présentent un grand polymorphisme, tel qu'on peut le voir sur les électrophorèses en gel de </w:t>
      </w:r>
      <w:proofErr w:type="spellStart"/>
      <w:r w:rsidRPr="00BF2D79">
        <w:rPr>
          <w:rFonts w:asciiTheme="majorBidi" w:hAnsiTheme="majorBidi" w:cstheme="majorBidi"/>
          <w:sz w:val="24"/>
          <w:szCs w:val="24"/>
        </w:rPr>
        <w:t>polyacrylamide</w:t>
      </w:r>
      <w:proofErr w:type="spellEnd"/>
      <w:r w:rsidRPr="00BF2D79">
        <w:rPr>
          <w:rFonts w:asciiTheme="majorBidi" w:hAnsiTheme="majorBidi" w:cstheme="majorBidi"/>
          <w:sz w:val="24"/>
          <w:szCs w:val="24"/>
        </w:rPr>
        <w:t xml:space="preserve"> ou par chromatographie HPLC en phase inverse qui révèlent de 17 à 25 constituants par variété de blé. Pour les 73 variétés françaises, 43 constituants se différencient par leur mobilité </w:t>
      </w:r>
      <w:proofErr w:type="spellStart"/>
      <w:r w:rsidRPr="00BF2D79">
        <w:rPr>
          <w:rFonts w:asciiTheme="majorBidi" w:hAnsiTheme="majorBidi" w:cstheme="majorBidi"/>
          <w:sz w:val="24"/>
          <w:szCs w:val="24"/>
        </w:rPr>
        <w:t>électrophorétique</w:t>
      </w:r>
      <w:proofErr w:type="spellEnd"/>
      <w:r w:rsidRPr="00BF2D79">
        <w:rPr>
          <w:rFonts w:asciiTheme="majorBidi" w:hAnsiTheme="majorBidi" w:cstheme="majorBidi"/>
          <w:sz w:val="24"/>
          <w:szCs w:val="24"/>
        </w:rPr>
        <w:t xml:space="preserve">. Ces techniques sont utilisées couramment pour l'identification des variétés de blé et d'orge (voir § 10.6, fig. 10.1). Au point de vue biochimique, i l n'existe pas une telle variété de séquences protéiques ; en fait, dans le blé i l n'y a que 4 gliadines (a, p\ y, a&gt;) dont la masse moléculaire varie de 18 000 Da à 75 000 Da et qui présentent le polymorphisme génétique suivant : de 27 à 38 000 Da pour les oc-gliadines, de 27 à 41 000 Da pour les p, 18 000 pour les y et de 65 000 à 75 000 pour les </w:t>
      </w:r>
      <w:proofErr w:type="spellStart"/>
      <w:r w:rsidRPr="00BF2D79">
        <w:rPr>
          <w:rFonts w:asciiTheme="majorBidi" w:hAnsiTheme="majorBidi" w:cstheme="majorBidi"/>
          <w:sz w:val="24"/>
          <w:szCs w:val="24"/>
        </w:rPr>
        <w:t>co</w:t>
      </w:r>
      <w:proofErr w:type="spellEnd"/>
      <w:r w:rsidRPr="00BF2D79">
        <w:rPr>
          <w:rFonts w:asciiTheme="majorBidi" w:hAnsiTheme="majorBidi" w:cstheme="majorBidi"/>
          <w:sz w:val="24"/>
          <w:szCs w:val="24"/>
        </w:rPr>
        <w:t>-gliadines.</w:t>
      </w:r>
    </w:p>
    <w:p w:rsidR="00EC558C" w:rsidRPr="00BF2D79" w:rsidRDefault="00EC558C" w:rsidP="00EC558C">
      <w:pPr>
        <w:autoSpaceDE w:val="0"/>
        <w:autoSpaceDN w:val="0"/>
        <w:adjustRightInd w:val="0"/>
        <w:spacing w:after="0" w:line="240" w:lineRule="auto"/>
        <w:jc w:val="both"/>
        <w:rPr>
          <w:rFonts w:asciiTheme="majorBidi" w:hAnsiTheme="majorBidi" w:cstheme="majorBidi"/>
          <w:sz w:val="24"/>
          <w:szCs w:val="24"/>
        </w:rPr>
      </w:pPr>
      <w:r w:rsidRPr="00BF2D79">
        <w:rPr>
          <w:rFonts w:asciiTheme="majorBidi" w:hAnsiTheme="majorBidi" w:cstheme="majorBidi"/>
          <w:sz w:val="24"/>
          <w:szCs w:val="24"/>
        </w:rPr>
        <w:t xml:space="preserve">Ces protéines sont très riches en glutamine et en proline, mais pauvre en acides aminés basiques. Toutefois, la composition en acides aminés des quatre groupes de gliadines diffère. Ainsi, les </w:t>
      </w:r>
      <w:proofErr w:type="spellStart"/>
      <w:r w:rsidRPr="00BF2D79">
        <w:rPr>
          <w:rFonts w:asciiTheme="majorBidi" w:hAnsiTheme="majorBidi" w:cstheme="majorBidi"/>
          <w:sz w:val="24"/>
          <w:szCs w:val="24"/>
        </w:rPr>
        <w:t>co</w:t>
      </w:r>
      <w:proofErr w:type="spellEnd"/>
      <w:r w:rsidRPr="00BF2D79">
        <w:rPr>
          <w:rFonts w:asciiTheme="majorBidi" w:hAnsiTheme="majorBidi" w:cstheme="majorBidi"/>
          <w:sz w:val="24"/>
          <w:szCs w:val="24"/>
        </w:rPr>
        <w:t xml:space="preserve">-gliadines présentent une richesse encore plus élevée en glutamine et en proline que les trois autres groupes. De surcroît, la plupart d'entre elles se distinguent des autres gliadines par l'absence d'acides aminés soufrés. Par ailleurs, la teneur en acides aminés basiques va en décroissant des a- vers les </w:t>
      </w:r>
      <w:proofErr w:type="spellStart"/>
      <w:r w:rsidRPr="00BF2D79">
        <w:rPr>
          <w:rFonts w:asciiTheme="majorBidi" w:hAnsiTheme="majorBidi" w:cstheme="majorBidi"/>
          <w:sz w:val="24"/>
          <w:szCs w:val="24"/>
        </w:rPr>
        <w:t>co</w:t>
      </w:r>
      <w:proofErr w:type="spellEnd"/>
      <w:r w:rsidRPr="00BF2D79">
        <w:rPr>
          <w:rFonts w:asciiTheme="majorBidi" w:hAnsiTheme="majorBidi" w:cstheme="majorBidi"/>
          <w:sz w:val="24"/>
          <w:szCs w:val="24"/>
        </w:rPr>
        <w:t xml:space="preserve">-gliadines. Toutes ces variations ont des répercussions au niveau des propriétés. Du fait de la quasi-totalité des acides glutamique et aspartique sous forme </w:t>
      </w:r>
      <w:proofErr w:type="spellStart"/>
      <w:r w:rsidRPr="00BF2D79">
        <w:rPr>
          <w:rFonts w:asciiTheme="majorBidi" w:hAnsiTheme="majorBidi" w:cstheme="majorBidi"/>
          <w:sz w:val="24"/>
          <w:szCs w:val="24"/>
        </w:rPr>
        <w:t>amidée</w:t>
      </w:r>
      <w:proofErr w:type="spellEnd"/>
      <w:r w:rsidRPr="00BF2D79">
        <w:rPr>
          <w:rFonts w:asciiTheme="majorBidi" w:hAnsiTheme="majorBidi" w:cstheme="majorBidi"/>
          <w:sz w:val="24"/>
          <w:szCs w:val="24"/>
        </w:rPr>
        <w:t xml:space="preserve">, et de la pauvreté en acides aminés basiques, les gliadines portent peu de charges. Elles se singularisent aussi de la majorité des autres protéines par le fait qu'elles associent une faible charge à une forte hydrophobicité. Ceci explique leurs propriétés de solubilité particulières telles que celle en milieu </w:t>
      </w:r>
      <w:proofErr w:type="spellStart"/>
      <w:r w:rsidRPr="00BF2D79">
        <w:rPr>
          <w:rFonts w:asciiTheme="majorBidi" w:hAnsiTheme="majorBidi" w:cstheme="majorBidi"/>
          <w:sz w:val="24"/>
          <w:szCs w:val="24"/>
        </w:rPr>
        <w:t>hydroalcoolique</w:t>
      </w:r>
      <w:proofErr w:type="spellEnd"/>
      <w:r w:rsidRPr="00BF2D79">
        <w:rPr>
          <w:rFonts w:asciiTheme="majorBidi" w:hAnsiTheme="majorBidi" w:cstheme="majorBidi"/>
          <w:sz w:val="24"/>
          <w:szCs w:val="24"/>
        </w:rPr>
        <w:t xml:space="preserve">. Par ailleurs, la forte teneur en proline provoque de nombreuses ruptures de structure secondaire à cause de la rigidité de cet acide aminé qui, en s'associant avec une proportion élevée de résidus apolaires donne aux gliadines une conformation non globulaire. A l'état natif, les </w:t>
      </w:r>
      <w:proofErr w:type="spellStart"/>
      <w:r w:rsidRPr="00BF2D79">
        <w:rPr>
          <w:rFonts w:asciiTheme="majorBidi" w:hAnsiTheme="majorBidi" w:cstheme="majorBidi"/>
          <w:sz w:val="24"/>
          <w:szCs w:val="24"/>
        </w:rPr>
        <w:t>co</w:t>
      </w:r>
      <w:proofErr w:type="spellEnd"/>
      <w:r w:rsidRPr="00BF2D79">
        <w:rPr>
          <w:rFonts w:asciiTheme="majorBidi" w:hAnsiTheme="majorBidi" w:cstheme="majorBidi"/>
          <w:sz w:val="24"/>
          <w:szCs w:val="24"/>
        </w:rPr>
        <w:t xml:space="preserve">-gliadines seraient sous forme de molécules </w:t>
      </w:r>
      <w:r w:rsidR="00966A20" w:rsidRPr="00BF2D79">
        <w:rPr>
          <w:rFonts w:asciiTheme="majorBidi" w:hAnsiTheme="majorBidi" w:cstheme="majorBidi"/>
          <w:sz w:val="24"/>
          <w:szCs w:val="24"/>
        </w:rPr>
        <w:t>semi-rigides</w:t>
      </w:r>
      <w:r w:rsidRPr="00BF2D79">
        <w:rPr>
          <w:rFonts w:asciiTheme="majorBidi" w:hAnsiTheme="majorBidi" w:cstheme="majorBidi"/>
          <w:sz w:val="24"/>
          <w:szCs w:val="24"/>
        </w:rPr>
        <w:t xml:space="preserve"> avec un faible degré d'organisation. Cette famille de protéines provoque chez certaines personnes la maladie </w:t>
      </w:r>
      <w:proofErr w:type="spellStart"/>
      <w:r w:rsidRPr="00BF2D79">
        <w:rPr>
          <w:rFonts w:asciiTheme="majorBidi" w:hAnsiTheme="majorBidi" w:cstheme="majorBidi"/>
          <w:sz w:val="24"/>
          <w:szCs w:val="24"/>
        </w:rPr>
        <w:t>coeliaque</w:t>
      </w:r>
      <w:proofErr w:type="spellEnd"/>
      <w:r w:rsidRPr="00BF2D79">
        <w:rPr>
          <w:rFonts w:asciiTheme="majorBidi" w:hAnsiTheme="majorBidi" w:cstheme="majorBidi"/>
          <w:sz w:val="24"/>
          <w:szCs w:val="24"/>
        </w:rPr>
        <w:t xml:space="preserve">, dite aussi intolérance au gluten, qui est une réponse immunitaire originale survenant sur un terrain génétique particulier et qui se traduit par une modification de la muqueuse de l'intestin grêle. Au contact des prolamines de certaines céréales (gliadines du blé, hordéines de l'orge, </w:t>
      </w:r>
      <w:proofErr w:type="spellStart"/>
      <w:r w:rsidRPr="00BF2D79">
        <w:rPr>
          <w:rFonts w:asciiTheme="majorBidi" w:hAnsiTheme="majorBidi" w:cstheme="majorBidi"/>
          <w:sz w:val="24"/>
          <w:szCs w:val="24"/>
        </w:rPr>
        <w:t>sécalines</w:t>
      </w:r>
      <w:proofErr w:type="spellEnd"/>
      <w:r w:rsidRPr="00BF2D79">
        <w:rPr>
          <w:rFonts w:asciiTheme="majorBidi" w:hAnsiTheme="majorBidi" w:cstheme="majorBidi"/>
          <w:sz w:val="24"/>
          <w:szCs w:val="24"/>
        </w:rPr>
        <w:t xml:space="preserve"> du seigle et, dans une moindre mesure, </w:t>
      </w:r>
      <w:proofErr w:type="spellStart"/>
      <w:r w:rsidRPr="00BF2D79">
        <w:rPr>
          <w:rFonts w:asciiTheme="majorBidi" w:hAnsiTheme="majorBidi" w:cstheme="majorBidi"/>
          <w:sz w:val="24"/>
          <w:szCs w:val="24"/>
        </w:rPr>
        <w:t>avénines</w:t>
      </w:r>
      <w:proofErr w:type="spellEnd"/>
      <w:r w:rsidRPr="00BF2D79">
        <w:rPr>
          <w:rFonts w:asciiTheme="majorBidi" w:hAnsiTheme="majorBidi" w:cstheme="majorBidi"/>
          <w:sz w:val="24"/>
          <w:szCs w:val="24"/>
        </w:rPr>
        <w:t xml:space="preserve"> de l'avoine) cette muqueuse accumule un grand nombre de globules blancs, les lymphocytes B. Elle est ensuite envahie par les plasmocytes et on constate une atrophie des villosités de l'intestin grêle. L'intolérance au gluten pourrait concerner 1 individu sur 300 en tenant compte des formes latentes.</w:t>
      </w:r>
    </w:p>
    <w:p w:rsidR="00EC558C" w:rsidRPr="00BF2D79" w:rsidRDefault="00EC558C" w:rsidP="00EC558C">
      <w:pPr>
        <w:autoSpaceDE w:val="0"/>
        <w:autoSpaceDN w:val="0"/>
        <w:adjustRightInd w:val="0"/>
        <w:spacing w:after="0" w:line="240" w:lineRule="auto"/>
        <w:jc w:val="both"/>
        <w:rPr>
          <w:rFonts w:asciiTheme="majorBidi" w:hAnsiTheme="majorBidi" w:cstheme="majorBidi"/>
          <w:b/>
          <w:bCs/>
          <w:sz w:val="24"/>
          <w:szCs w:val="24"/>
        </w:rPr>
      </w:pPr>
      <w:r>
        <w:rPr>
          <w:rFonts w:asciiTheme="majorBidi" w:hAnsiTheme="majorBidi" w:cstheme="majorBidi"/>
          <w:b/>
          <w:bCs/>
          <w:sz w:val="24"/>
          <w:szCs w:val="24"/>
        </w:rPr>
        <w:t>I</w:t>
      </w:r>
      <w:r w:rsidRPr="00BF2D79">
        <w:rPr>
          <w:rFonts w:asciiTheme="majorBidi" w:hAnsiTheme="majorBidi" w:cstheme="majorBidi"/>
          <w:b/>
          <w:bCs/>
          <w:sz w:val="24"/>
          <w:szCs w:val="24"/>
        </w:rPr>
        <w:t>.5 LES GLUTÉNINES</w:t>
      </w:r>
    </w:p>
    <w:p w:rsidR="00EC558C" w:rsidRPr="00BF2D79" w:rsidRDefault="00EC558C" w:rsidP="00EC558C">
      <w:pPr>
        <w:autoSpaceDE w:val="0"/>
        <w:autoSpaceDN w:val="0"/>
        <w:adjustRightInd w:val="0"/>
        <w:spacing w:after="0" w:line="240" w:lineRule="auto"/>
        <w:jc w:val="both"/>
        <w:rPr>
          <w:rFonts w:asciiTheme="majorBidi" w:hAnsiTheme="majorBidi" w:cstheme="majorBidi"/>
          <w:sz w:val="24"/>
          <w:szCs w:val="24"/>
        </w:rPr>
      </w:pPr>
      <w:r w:rsidRPr="00BF2D79">
        <w:rPr>
          <w:rFonts w:asciiTheme="majorBidi" w:hAnsiTheme="majorBidi" w:cstheme="majorBidi"/>
          <w:sz w:val="24"/>
          <w:szCs w:val="24"/>
        </w:rPr>
        <w:t xml:space="preserve">Les </w:t>
      </w:r>
      <w:proofErr w:type="spellStart"/>
      <w:r w:rsidRPr="00BF2D79">
        <w:rPr>
          <w:rFonts w:asciiTheme="majorBidi" w:hAnsiTheme="majorBidi" w:cstheme="majorBidi"/>
          <w:sz w:val="24"/>
          <w:szCs w:val="24"/>
        </w:rPr>
        <w:t>gluténines</w:t>
      </w:r>
      <w:proofErr w:type="spellEnd"/>
      <w:r w:rsidRPr="00BF2D79">
        <w:rPr>
          <w:rFonts w:asciiTheme="majorBidi" w:hAnsiTheme="majorBidi" w:cstheme="majorBidi"/>
          <w:sz w:val="24"/>
          <w:szCs w:val="24"/>
        </w:rPr>
        <w:t xml:space="preserve">, le dernier groupe des protéines des graines, ont une teneur en résidus lysine, glycine, alanine, serine et tyrosine fortement supérieure à celle des gliadines tandis que leur teneur en acide glutamique, proline et cystéine est inférieure. Traditionnellement, on distingue selon leur masse moléculaire trois types de </w:t>
      </w:r>
      <w:proofErr w:type="spellStart"/>
      <w:r w:rsidRPr="00BF2D79">
        <w:rPr>
          <w:rFonts w:asciiTheme="majorBidi" w:hAnsiTheme="majorBidi" w:cstheme="majorBidi"/>
          <w:sz w:val="24"/>
          <w:szCs w:val="24"/>
        </w:rPr>
        <w:t>gluténines</w:t>
      </w:r>
      <w:proofErr w:type="spellEnd"/>
      <w:r w:rsidRPr="00BF2D79">
        <w:rPr>
          <w:rFonts w:asciiTheme="majorBidi" w:hAnsiTheme="majorBidi" w:cstheme="majorBidi"/>
          <w:sz w:val="24"/>
          <w:szCs w:val="24"/>
        </w:rPr>
        <w:t xml:space="preserve"> :</w:t>
      </w:r>
    </w:p>
    <w:p w:rsidR="00EC558C" w:rsidRPr="00BF2D79" w:rsidRDefault="00EC558C" w:rsidP="00EC558C">
      <w:pPr>
        <w:autoSpaceDE w:val="0"/>
        <w:autoSpaceDN w:val="0"/>
        <w:adjustRightInd w:val="0"/>
        <w:spacing w:after="0" w:line="240" w:lineRule="auto"/>
        <w:jc w:val="both"/>
        <w:rPr>
          <w:rFonts w:asciiTheme="majorBidi" w:hAnsiTheme="majorBidi" w:cstheme="majorBidi"/>
          <w:sz w:val="24"/>
          <w:szCs w:val="24"/>
        </w:rPr>
      </w:pPr>
      <w:r w:rsidRPr="00BF2D79">
        <w:rPr>
          <w:rFonts w:asciiTheme="majorBidi" w:hAnsiTheme="majorBidi" w:cstheme="majorBidi"/>
          <w:sz w:val="24"/>
          <w:szCs w:val="24"/>
        </w:rPr>
        <w:t>- celles ayant une masse moléculaire supérieure à 200 000 Da dont la composition est voisine des albumines et globulines ;</w:t>
      </w:r>
    </w:p>
    <w:p w:rsidR="00EC558C" w:rsidRPr="00BF2D79" w:rsidRDefault="00EC558C" w:rsidP="00EC558C">
      <w:pPr>
        <w:autoSpaceDE w:val="0"/>
        <w:autoSpaceDN w:val="0"/>
        <w:adjustRightInd w:val="0"/>
        <w:spacing w:after="0" w:line="240" w:lineRule="auto"/>
        <w:jc w:val="both"/>
        <w:rPr>
          <w:rFonts w:asciiTheme="majorBidi" w:hAnsiTheme="majorBidi" w:cstheme="majorBidi"/>
          <w:sz w:val="24"/>
          <w:szCs w:val="24"/>
        </w:rPr>
      </w:pPr>
      <w:r w:rsidRPr="00BF2D79">
        <w:rPr>
          <w:rFonts w:asciiTheme="majorBidi" w:hAnsiTheme="majorBidi" w:cstheme="majorBidi"/>
          <w:sz w:val="24"/>
          <w:szCs w:val="24"/>
        </w:rPr>
        <w:t>- celles dont la masse moléculaire est comprise entre 100 000 et 200 000 Da et qui contiennent une proportion élevée d'acide glutamique, de glycine;</w:t>
      </w:r>
    </w:p>
    <w:p w:rsidR="00EC558C" w:rsidRPr="00BF2D79" w:rsidRDefault="00EC558C" w:rsidP="00EC558C">
      <w:pPr>
        <w:autoSpaceDE w:val="0"/>
        <w:autoSpaceDN w:val="0"/>
        <w:adjustRightInd w:val="0"/>
        <w:spacing w:after="0" w:line="240" w:lineRule="auto"/>
        <w:jc w:val="both"/>
        <w:rPr>
          <w:rFonts w:asciiTheme="majorBidi" w:hAnsiTheme="majorBidi" w:cstheme="majorBidi"/>
          <w:sz w:val="24"/>
          <w:szCs w:val="24"/>
        </w:rPr>
      </w:pPr>
      <w:r w:rsidRPr="00BF2D79">
        <w:rPr>
          <w:rFonts w:asciiTheme="majorBidi" w:hAnsiTheme="majorBidi" w:cstheme="majorBidi"/>
          <w:sz w:val="24"/>
          <w:szCs w:val="24"/>
        </w:rPr>
        <w:t>- celles dont la masse est inférieure à 50 000 Da et qui présentent une hydrophobicité voisine des gliadines. Elles en diffèrent par leur richesse plus forte en serine et plus faible en cystéine.</w:t>
      </w:r>
    </w:p>
    <w:p w:rsidR="00EC558C" w:rsidRPr="00BF2D79" w:rsidRDefault="00EC558C" w:rsidP="00966A20">
      <w:pPr>
        <w:autoSpaceDE w:val="0"/>
        <w:autoSpaceDN w:val="0"/>
        <w:adjustRightInd w:val="0"/>
        <w:spacing w:after="0" w:line="240" w:lineRule="auto"/>
        <w:jc w:val="both"/>
        <w:rPr>
          <w:rFonts w:asciiTheme="majorBidi" w:hAnsiTheme="majorBidi" w:cstheme="majorBidi"/>
          <w:sz w:val="24"/>
          <w:szCs w:val="24"/>
        </w:rPr>
      </w:pPr>
      <w:r w:rsidRPr="00BF2D79">
        <w:rPr>
          <w:rFonts w:asciiTheme="majorBidi" w:hAnsiTheme="majorBidi" w:cstheme="majorBidi"/>
          <w:sz w:val="24"/>
          <w:szCs w:val="24"/>
        </w:rPr>
        <w:t>Les interactions hydrophobes jouent un grand rôle dans la formation des agrégats</w:t>
      </w:r>
      <w:r w:rsidR="00966A20">
        <w:rPr>
          <w:rFonts w:asciiTheme="majorBidi" w:hAnsiTheme="majorBidi" w:cstheme="majorBidi"/>
          <w:sz w:val="24"/>
          <w:szCs w:val="24"/>
        </w:rPr>
        <w:t xml:space="preserve"> </w:t>
      </w:r>
      <w:r w:rsidRPr="00BF2D79">
        <w:rPr>
          <w:rFonts w:asciiTheme="majorBidi" w:hAnsiTheme="majorBidi" w:cstheme="majorBidi"/>
          <w:sz w:val="24"/>
          <w:szCs w:val="24"/>
        </w:rPr>
        <w:t xml:space="preserve">de </w:t>
      </w:r>
      <w:proofErr w:type="spellStart"/>
      <w:r w:rsidRPr="00BF2D79">
        <w:rPr>
          <w:rFonts w:asciiTheme="majorBidi" w:hAnsiTheme="majorBidi" w:cstheme="majorBidi"/>
          <w:sz w:val="24"/>
          <w:szCs w:val="24"/>
        </w:rPr>
        <w:t>gluténines</w:t>
      </w:r>
      <w:proofErr w:type="spellEnd"/>
      <w:r w:rsidRPr="00BF2D79">
        <w:rPr>
          <w:rFonts w:asciiTheme="majorBidi" w:hAnsiTheme="majorBidi" w:cstheme="majorBidi"/>
          <w:sz w:val="24"/>
          <w:szCs w:val="24"/>
        </w:rPr>
        <w:t xml:space="preserve">. À la structure secondaire et tertiaire des sous-unités vient se superposer une structure en agrégats. I l est établi que les grosses sous-unités sont liées par des baisons covalentes dont principalement des ponts disulfures et les petites sous-unités par des liaisons non covalentes. En tenant compte de leurs propriétés biochimiques et de leur origine </w:t>
      </w:r>
      <w:r w:rsidRPr="00BF2D79">
        <w:rPr>
          <w:rFonts w:asciiTheme="majorBidi" w:hAnsiTheme="majorBidi" w:cstheme="majorBidi"/>
          <w:sz w:val="24"/>
          <w:szCs w:val="24"/>
        </w:rPr>
        <w:lastRenderedPageBreak/>
        <w:t>génétique, la classification des protéines du grain de blé a été revue. L'appellation « prolamine » est réservée aux seules protéines de réserve dont les polypeptides sont solubles - mais pas forcément extractibles complètement - dans des solutions alcooliques (éthanol à 65-75 %) avec l'aide ou non d'un réducteur des ponts disulfures et d'acide acétique. Les prolamines ont été séparées en trois groupes :</w:t>
      </w:r>
    </w:p>
    <w:p w:rsidR="00EC558C" w:rsidRPr="00BF2D79" w:rsidRDefault="00EC558C" w:rsidP="00EC558C">
      <w:pPr>
        <w:autoSpaceDE w:val="0"/>
        <w:autoSpaceDN w:val="0"/>
        <w:adjustRightInd w:val="0"/>
        <w:spacing w:after="0" w:line="240" w:lineRule="auto"/>
        <w:jc w:val="both"/>
        <w:rPr>
          <w:rFonts w:asciiTheme="majorBidi" w:hAnsiTheme="majorBidi" w:cstheme="majorBidi"/>
          <w:sz w:val="24"/>
          <w:szCs w:val="24"/>
        </w:rPr>
      </w:pPr>
      <w:r w:rsidRPr="00BF2D79">
        <w:rPr>
          <w:rFonts w:asciiTheme="majorBidi" w:hAnsiTheme="majorBidi" w:cstheme="majorBidi"/>
          <w:sz w:val="24"/>
          <w:szCs w:val="24"/>
        </w:rPr>
        <w:t>- les prolamines riches en soufre ;</w:t>
      </w:r>
    </w:p>
    <w:p w:rsidR="00EC558C" w:rsidRPr="00BF2D79" w:rsidRDefault="00EC558C" w:rsidP="00EC558C">
      <w:pPr>
        <w:autoSpaceDE w:val="0"/>
        <w:autoSpaceDN w:val="0"/>
        <w:adjustRightInd w:val="0"/>
        <w:spacing w:after="0" w:line="240" w:lineRule="auto"/>
        <w:jc w:val="both"/>
        <w:rPr>
          <w:rFonts w:asciiTheme="majorBidi" w:hAnsiTheme="majorBidi" w:cstheme="majorBidi"/>
          <w:sz w:val="24"/>
          <w:szCs w:val="24"/>
        </w:rPr>
      </w:pPr>
      <w:r w:rsidRPr="00BF2D79">
        <w:rPr>
          <w:rFonts w:asciiTheme="majorBidi" w:hAnsiTheme="majorBidi" w:cstheme="majorBidi"/>
          <w:sz w:val="24"/>
          <w:szCs w:val="24"/>
        </w:rPr>
        <w:t>- les prolamines pauvres en soufre ;</w:t>
      </w:r>
    </w:p>
    <w:p w:rsidR="00EC558C" w:rsidRDefault="00EC558C" w:rsidP="00EC558C">
      <w:pPr>
        <w:autoSpaceDE w:val="0"/>
        <w:autoSpaceDN w:val="0"/>
        <w:adjustRightInd w:val="0"/>
        <w:spacing w:after="0" w:line="240" w:lineRule="auto"/>
        <w:jc w:val="both"/>
        <w:rPr>
          <w:rFonts w:asciiTheme="majorBidi" w:hAnsiTheme="majorBidi" w:cstheme="majorBidi"/>
          <w:sz w:val="24"/>
          <w:szCs w:val="24"/>
        </w:rPr>
      </w:pPr>
      <w:r w:rsidRPr="00BF2D79">
        <w:rPr>
          <w:rFonts w:asciiTheme="majorBidi" w:hAnsiTheme="majorBidi" w:cstheme="majorBidi"/>
          <w:sz w:val="24"/>
          <w:szCs w:val="24"/>
        </w:rPr>
        <w:t>- les prolamines de masse moléculaire élevée.</w:t>
      </w:r>
    </w:p>
    <w:p w:rsidR="00EC558C" w:rsidRDefault="00EC558C" w:rsidP="00EC558C">
      <w:pPr>
        <w:autoSpaceDE w:val="0"/>
        <w:autoSpaceDN w:val="0"/>
        <w:adjustRightInd w:val="0"/>
        <w:spacing w:after="0" w:line="240" w:lineRule="auto"/>
        <w:jc w:val="both"/>
        <w:rPr>
          <w:rFonts w:asciiTheme="majorBidi" w:hAnsiTheme="majorBidi" w:cstheme="majorBidi"/>
          <w:sz w:val="24"/>
          <w:szCs w:val="24"/>
        </w:rPr>
      </w:pPr>
    </w:p>
    <w:p w:rsidR="00EC558C" w:rsidRPr="00BF2D79" w:rsidRDefault="00EC558C" w:rsidP="00EC558C">
      <w:pPr>
        <w:autoSpaceDE w:val="0"/>
        <w:autoSpaceDN w:val="0"/>
        <w:adjustRightInd w:val="0"/>
        <w:spacing w:after="0" w:line="240" w:lineRule="auto"/>
        <w:jc w:val="both"/>
        <w:rPr>
          <w:rFonts w:asciiTheme="majorBidi" w:hAnsiTheme="majorBidi" w:cstheme="majorBidi"/>
          <w:sz w:val="24"/>
          <w:szCs w:val="24"/>
        </w:rPr>
      </w:pPr>
    </w:p>
    <w:p w:rsidR="00EC558C" w:rsidRDefault="00EC558C" w:rsidP="00EC558C">
      <w:pPr>
        <w:autoSpaceDE w:val="0"/>
        <w:autoSpaceDN w:val="0"/>
        <w:adjustRightInd w:val="0"/>
        <w:spacing w:after="0" w:line="240" w:lineRule="auto"/>
        <w:jc w:val="center"/>
        <w:rPr>
          <w:rFonts w:asciiTheme="majorBidi" w:hAnsiTheme="majorBidi" w:cstheme="majorBidi"/>
          <w:sz w:val="24"/>
          <w:szCs w:val="24"/>
        </w:rPr>
      </w:pPr>
      <w:r w:rsidRPr="00BF2D79">
        <w:rPr>
          <w:rFonts w:asciiTheme="majorBidi" w:hAnsiTheme="majorBidi" w:cstheme="majorBidi"/>
          <w:b/>
          <w:bCs/>
          <w:sz w:val="24"/>
          <w:szCs w:val="24"/>
        </w:rPr>
        <w:t>Tableau 10.5 :</w:t>
      </w:r>
      <w:r>
        <w:rPr>
          <w:rFonts w:asciiTheme="majorBidi" w:hAnsiTheme="majorBidi" w:cstheme="majorBidi"/>
          <w:sz w:val="24"/>
          <w:szCs w:val="24"/>
        </w:rPr>
        <w:t xml:space="preserve"> </w:t>
      </w:r>
      <w:r w:rsidRPr="00BF2D79">
        <w:rPr>
          <w:rFonts w:asciiTheme="majorBidi" w:hAnsiTheme="majorBidi" w:cstheme="majorBidi"/>
          <w:sz w:val="24"/>
          <w:szCs w:val="24"/>
        </w:rPr>
        <w:t>CORRESPONDANCES ENTRE LES ANCIENNES ET NOUVELLES APPELLATIONSDES PROTÉINES DE RÉSERVE DU BLÉ.</w:t>
      </w:r>
    </w:p>
    <w:p w:rsidR="00EC558C" w:rsidRDefault="00EC558C" w:rsidP="00EC558C">
      <w:pPr>
        <w:autoSpaceDE w:val="0"/>
        <w:autoSpaceDN w:val="0"/>
        <w:adjustRightInd w:val="0"/>
        <w:spacing w:after="0" w:line="240" w:lineRule="auto"/>
        <w:jc w:val="both"/>
        <w:rPr>
          <w:rFonts w:asciiTheme="majorBidi" w:hAnsiTheme="majorBidi" w:cstheme="majorBidi"/>
          <w:sz w:val="24"/>
          <w:szCs w:val="24"/>
        </w:rPr>
      </w:pPr>
    </w:p>
    <w:p w:rsidR="00EC558C" w:rsidRDefault="00EC558C" w:rsidP="00EC558C">
      <w:pPr>
        <w:autoSpaceDE w:val="0"/>
        <w:autoSpaceDN w:val="0"/>
        <w:adjustRightInd w:val="0"/>
        <w:spacing w:after="0" w:line="240" w:lineRule="auto"/>
        <w:jc w:val="both"/>
        <w:rPr>
          <w:rFonts w:asciiTheme="majorBidi" w:hAnsiTheme="majorBidi" w:cstheme="majorBidi"/>
          <w:sz w:val="24"/>
          <w:szCs w:val="24"/>
        </w:rPr>
      </w:pPr>
      <w:r>
        <w:rPr>
          <w:rFonts w:asciiTheme="majorBidi" w:hAnsiTheme="majorBidi" w:cstheme="majorBidi"/>
          <w:noProof/>
          <w:sz w:val="24"/>
          <w:szCs w:val="24"/>
          <w:lang w:eastAsia="fr-FR"/>
        </w:rPr>
        <w:drawing>
          <wp:inline distT="0" distB="0" distL="0" distR="0">
            <wp:extent cx="6120130" cy="1573277"/>
            <wp:effectExtent l="19050" t="0" r="0" b="0"/>
            <wp:docPr id="9"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6120130" cy="1573277"/>
                    </a:xfrm>
                    <a:prstGeom prst="rect">
                      <a:avLst/>
                    </a:prstGeom>
                    <a:noFill/>
                    <a:ln w="9525">
                      <a:noFill/>
                      <a:miter lim="800000"/>
                      <a:headEnd/>
                      <a:tailEnd/>
                    </a:ln>
                  </pic:spPr>
                </pic:pic>
              </a:graphicData>
            </a:graphic>
          </wp:inline>
        </w:drawing>
      </w:r>
    </w:p>
    <w:p w:rsidR="00EC558C" w:rsidRPr="00BF2D79" w:rsidRDefault="00EC558C" w:rsidP="00EC558C">
      <w:pPr>
        <w:autoSpaceDE w:val="0"/>
        <w:autoSpaceDN w:val="0"/>
        <w:adjustRightInd w:val="0"/>
        <w:spacing w:after="0" w:line="240" w:lineRule="auto"/>
        <w:jc w:val="both"/>
        <w:rPr>
          <w:rFonts w:asciiTheme="majorBidi" w:hAnsiTheme="majorBidi" w:cstheme="majorBidi"/>
          <w:sz w:val="24"/>
          <w:szCs w:val="24"/>
        </w:rPr>
      </w:pPr>
    </w:p>
    <w:p w:rsidR="0032536E" w:rsidRDefault="0032536E"/>
    <w:sectPr w:rsidR="0032536E" w:rsidSect="0032536E">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0B04" w:rsidRDefault="00960B04" w:rsidP="00966A20">
      <w:pPr>
        <w:spacing w:after="0" w:line="240" w:lineRule="auto"/>
      </w:pPr>
      <w:r>
        <w:separator/>
      </w:r>
    </w:p>
  </w:endnote>
  <w:endnote w:type="continuationSeparator" w:id="0">
    <w:p w:rsidR="00960B04" w:rsidRDefault="00960B04" w:rsidP="00966A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554431"/>
      <w:docPartObj>
        <w:docPartGallery w:val="Page Numbers (Bottom of Page)"/>
        <w:docPartUnique/>
      </w:docPartObj>
    </w:sdtPr>
    <w:sdtContent>
      <w:p w:rsidR="00966A20" w:rsidRDefault="00AF2C64">
        <w:pPr>
          <w:pStyle w:val="Pieddepage"/>
          <w:jc w:val="right"/>
        </w:pPr>
        <w:fldSimple w:instr=" PAGE   \* MERGEFORMAT ">
          <w:r w:rsidR="00097949">
            <w:rPr>
              <w:noProof/>
            </w:rPr>
            <w:t>1</w:t>
          </w:r>
        </w:fldSimple>
      </w:p>
    </w:sdtContent>
  </w:sdt>
  <w:p w:rsidR="00966A20" w:rsidRDefault="00966A20">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0B04" w:rsidRDefault="00960B04" w:rsidP="00966A20">
      <w:pPr>
        <w:spacing w:after="0" w:line="240" w:lineRule="auto"/>
      </w:pPr>
      <w:r>
        <w:separator/>
      </w:r>
    </w:p>
  </w:footnote>
  <w:footnote w:type="continuationSeparator" w:id="0">
    <w:p w:rsidR="00960B04" w:rsidRDefault="00960B04" w:rsidP="00966A2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EC558C"/>
    <w:rsid w:val="000056D3"/>
    <w:rsid w:val="000058EB"/>
    <w:rsid w:val="00010C9B"/>
    <w:rsid w:val="00012819"/>
    <w:rsid w:val="00012B34"/>
    <w:rsid w:val="00012BF5"/>
    <w:rsid w:val="00017E49"/>
    <w:rsid w:val="00022DEB"/>
    <w:rsid w:val="0002681A"/>
    <w:rsid w:val="000271ED"/>
    <w:rsid w:val="00032326"/>
    <w:rsid w:val="00032B15"/>
    <w:rsid w:val="00032BD8"/>
    <w:rsid w:val="00032F2A"/>
    <w:rsid w:val="000331B6"/>
    <w:rsid w:val="00035461"/>
    <w:rsid w:val="00042304"/>
    <w:rsid w:val="00046025"/>
    <w:rsid w:val="00047519"/>
    <w:rsid w:val="000478E4"/>
    <w:rsid w:val="00047E1C"/>
    <w:rsid w:val="00050159"/>
    <w:rsid w:val="000508D0"/>
    <w:rsid w:val="00053392"/>
    <w:rsid w:val="00053FB1"/>
    <w:rsid w:val="0005454B"/>
    <w:rsid w:val="000572EE"/>
    <w:rsid w:val="00057488"/>
    <w:rsid w:val="00061ADD"/>
    <w:rsid w:val="00062452"/>
    <w:rsid w:val="000711CD"/>
    <w:rsid w:val="000763EF"/>
    <w:rsid w:val="00082A9F"/>
    <w:rsid w:val="000848DD"/>
    <w:rsid w:val="000849DC"/>
    <w:rsid w:val="00086DB9"/>
    <w:rsid w:val="00087007"/>
    <w:rsid w:val="00087413"/>
    <w:rsid w:val="00087D90"/>
    <w:rsid w:val="00087DB1"/>
    <w:rsid w:val="00090C99"/>
    <w:rsid w:val="00090F56"/>
    <w:rsid w:val="0009400F"/>
    <w:rsid w:val="000969BA"/>
    <w:rsid w:val="00097949"/>
    <w:rsid w:val="000A41D5"/>
    <w:rsid w:val="000A5FC2"/>
    <w:rsid w:val="000A6EAC"/>
    <w:rsid w:val="000A7AC5"/>
    <w:rsid w:val="000B1988"/>
    <w:rsid w:val="000B2D70"/>
    <w:rsid w:val="000B68B6"/>
    <w:rsid w:val="000B7FE8"/>
    <w:rsid w:val="000C31B9"/>
    <w:rsid w:val="000C40D1"/>
    <w:rsid w:val="000C55A0"/>
    <w:rsid w:val="000C74A5"/>
    <w:rsid w:val="000C7577"/>
    <w:rsid w:val="000D17FE"/>
    <w:rsid w:val="000D19ED"/>
    <w:rsid w:val="000D401D"/>
    <w:rsid w:val="000D4062"/>
    <w:rsid w:val="000D49D0"/>
    <w:rsid w:val="000E094E"/>
    <w:rsid w:val="000E0CC0"/>
    <w:rsid w:val="000E1B5F"/>
    <w:rsid w:val="000E2419"/>
    <w:rsid w:val="000E32C6"/>
    <w:rsid w:val="000E361C"/>
    <w:rsid w:val="000E37D3"/>
    <w:rsid w:val="000E6D5E"/>
    <w:rsid w:val="000E7796"/>
    <w:rsid w:val="000F1541"/>
    <w:rsid w:val="000F7E9F"/>
    <w:rsid w:val="0010746A"/>
    <w:rsid w:val="001167F7"/>
    <w:rsid w:val="00117197"/>
    <w:rsid w:val="0011719C"/>
    <w:rsid w:val="00117F31"/>
    <w:rsid w:val="00120F08"/>
    <w:rsid w:val="00120FFC"/>
    <w:rsid w:val="001221B5"/>
    <w:rsid w:val="001305D9"/>
    <w:rsid w:val="00130CBA"/>
    <w:rsid w:val="001318A6"/>
    <w:rsid w:val="00133175"/>
    <w:rsid w:val="00135829"/>
    <w:rsid w:val="00137A1E"/>
    <w:rsid w:val="0014154F"/>
    <w:rsid w:val="001427EF"/>
    <w:rsid w:val="00143F8E"/>
    <w:rsid w:val="00145A68"/>
    <w:rsid w:val="00147C2D"/>
    <w:rsid w:val="00147C67"/>
    <w:rsid w:val="001501A8"/>
    <w:rsid w:val="0015661F"/>
    <w:rsid w:val="00156659"/>
    <w:rsid w:val="00157F50"/>
    <w:rsid w:val="0016210A"/>
    <w:rsid w:val="00162A72"/>
    <w:rsid w:val="001661B9"/>
    <w:rsid w:val="00166E55"/>
    <w:rsid w:val="00171E19"/>
    <w:rsid w:val="00172017"/>
    <w:rsid w:val="00172E87"/>
    <w:rsid w:val="00173365"/>
    <w:rsid w:val="001742C3"/>
    <w:rsid w:val="00180619"/>
    <w:rsid w:val="00182288"/>
    <w:rsid w:val="00184402"/>
    <w:rsid w:val="001874E7"/>
    <w:rsid w:val="00187AC4"/>
    <w:rsid w:val="00193F00"/>
    <w:rsid w:val="00195F75"/>
    <w:rsid w:val="00197BC8"/>
    <w:rsid w:val="001A34F2"/>
    <w:rsid w:val="001A4797"/>
    <w:rsid w:val="001A4CF5"/>
    <w:rsid w:val="001B2B9F"/>
    <w:rsid w:val="001B2DF4"/>
    <w:rsid w:val="001B676B"/>
    <w:rsid w:val="001B7928"/>
    <w:rsid w:val="001C0608"/>
    <w:rsid w:val="001C3E05"/>
    <w:rsid w:val="001C5EEC"/>
    <w:rsid w:val="001D0220"/>
    <w:rsid w:val="001D19B0"/>
    <w:rsid w:val="001D5D54"/>
    <w:rsid w:val="001E1BE3"/>
    <w:rsid w:val="001E1CFB"/>
    <w:rsid w:val="001E6786"/>
    <w:rsid w:val="001E7CE6"/>
    <w:rsid w:val="001E7ECC"/>
    <w:rsid w:val="001F2C80"/>
    <w:rsid w:val="001F2F87"/>
    <w:rsid w:val="001F43BD"/>
    <w:rsid w:val="001F66EE"/>
    <w:rsid w:val="0020332D"/>
    <w:rsid w:val="00206E0B"/>
    <w:rsid w:val="002070FC"/>
    <w:rsid w:val="00210630"/>
    <w:rsid w:val="002134DA"/>
    <w:rsid w:val="002147A2"/>
    <w:rsid w:val="002162A2"/>
    <w:rsid w:val="00226BEF"/>
    <w:rsid w:val="0023072A"/>
    <w:rsid w:val="00232C9E"/>
    <w:rsid w:val="0023344B"/>
    <w:rsid w:val="00236F16"/>
    <w:rsid w:val="002424CB"/>
    <w:rsid w:val="00242616"/>
    <w:rsid w:val="00242BED"/>
    <w:rsid w:val="002475C2"/>
    <w:rsid w:val="002557BC"/>
    <w:rsid w:val="00257841"/>
    <w:rsid w:val="00260B31"/>
    <w:rsid w:val="002621F3"/>
    <w:rsid w:val="00265670"/>
    <w:rsid w:val="002656B3"/>
    <w:rsid w:val="0027068F"/>
    <w:rsid w:val="00272965"/>
    <w:rsid w:val="00274E9D"/>
    <w:rsid w:val="0028021D"/>
    <w:rsid w:val="00280F7A"/>
    <w:rsid w:val="00283611"/>
    <w:rsid w:val="00283FAA"/>
    <w:rsid w:val="00285AA7"/>
    <w:rsid w:val="00286767"/>
    <w:rsid w:val="0028690C"/>
    <w:rsid w:val="00286942"/>
    <w:rsid w:val="00287A20"/>
    <w:rsid w:val="00292D50"/>
    <w:rsid w:val="002A2E32"/>
    <w:rsid w:val="002A3828"/>
    <w:rsid w:val="002A5A2B"/>
    <w:rsid w:val="002A64BD"/>
    <w:rsid w:val="002A6B89"/>
    <w:rsid w:val="002A6D6E"/>
    <w:rsid w:val="002A70E6"/>
    <w:rsid w:val="002B1C0D"/>
    <w:rsid w:val="002B4004"/>
    <w:rsid w:val="002B5611"/>
    <w:rsid w:val="002B6AE2"/>
    <w:rsid w:val="002C34EE"/>
    <w:rsid w:val="002C4399"/>
    <w:rsid w:val="002D061D"/>
    <w:rsid w:val="002D0712"/>
    <w:rsid w:val="002D15DB"/>
    <w:rsid w:val="002D3008"/>
    <w:rsid w:val="002D46CD"/>
    <w:rsid w:val="002D63B3"/>
    <w:rsid w:val="002D7090"/>
    <w:rsid w:val="002E0B05"/>
    <w:rsid w:val="002E2991"/>
    <w:rsid w:val="002E3DAE"/>
    <w:rsid w:val="002F009A"/>
    <w:rsid w:val="00300D14"/>
    <w:rsid w:val="00301F97"/>
    <w:rsid w:val="0030421C"/>
    <w:rsid w:val="003101E6"/>
    <w:rsid w:val="00310C50"/>
    <w:rsid w:val="0031238B"/>
    <w:rsid w:val="00313E2E"/>
    <w:rsid w:val="0031515F"/>
    <w:rsid w:val="0031563F"/>
    <w:rsid w:val="00315D1F"/>
    <w:rsid w:val="00315FD0"/>
    <w:rsid w:val="003168CB"/>
    <w:rsid w:val="00317194"/>
    <w:rsid w:val="00317905"/>
    <w:rsid w:val="003211C1"/>
    <w:rsid w:val="0032178A"/>
    <w:rsid w:val="00323B05"/>
    <w:rsid w:val="00325063"/>
    <w:rsid w:val="0032536E"/>
    <w:rsid w:val="00326232"/>
    <w:rsid w:val="00331C1E"/>
    <w:rsid w:val="003328D6"/>
    <w:rsid w:val="00333AD3"/>
    <w:rsid w:val="003354CA"/>
    <w:rsid w:val="00341079"/>
    <w:rsid w:val="00341D33"/>
    <w:rsid w:val="00342585"/>
    <w:rsid w:val="003450F7"/>
    <w:rsid w:val="00346F69"/>
    <w:rsid w:val="0034781D"/>
    <w:rsid w:val="00350F3E"/>
    <w:rsid w:val="0035101A"/>
    <w:rsid w:val="00351546"/>
    <w:rsid w:val="00355F75"/>
    <w:rsid w:val="00356B5D"/>
    <w:rsid w:val="00362296"/>
    <w:rsid w:val="00362629"/>
    <w:rsid w:val="003628BB"/>
    <w:rsid w:val="00363055"/>
    <w:rsid w:val="00365A33"/>
    <w:rsid w:val="00365B9E"/>
    <w:rsid w:val="0036675C"/>
    <w:rsid w:val="00373D84"/>
    <w:rsid w:val="003755D2"/>
    <w:rsid w:val="00376A64"/>
    <w:rsid w:val="00383ADB"/>
    <w:rsid w:val="003870C1"/>
    <w:rsid w:val="003912C2"/>
    <w:rsid w:val="0039166B"/>
    <w:rsid w:val="003928EB"/>
    <w:rsid w:val="003938A1"/>
    <w:rsid w:val="003959F1"/>
    <w:rsid w:val="00397865"/>
    <w:rsid w:val="003979BD"/>
    <w:rsid w:val="003A1DEA"/>
    <w:rsid w:val="003A2179"/>
    <w:rsid w:val="003A21D3"/>
    <w:rsid w:val="003A743B"/>
    <w:rsid w:val="003A7DB4"/>
    <w:rsid w:val="003B0280"/>
    <w:rsid w:val="003B0668"/>
    <w:rsid w:val="003B20EC"/>
    <w:rsid w:val="003B672B"/>
    <w:rsid w:val="003B7539"/>
    <w:rsid w:val="003B7E1E"/>
    <w:rsid w:val="003C166C"/>
    <w:rsid w:val="003C3A8C"/>
    <w:rsid w:val="003C6481"/>
    <w:rsid w:val="003D1DC6"/>
    <w:rsid w:val="003D2F1F"/>
    <w:rsid w:val="003D6A47"/>
    <w:rsid w:val="003D7AC3"/>
    <w:rsid w:val="003E08E9"/>
    <w:rsid w:val="003E53CE"/>
    <w:rsid w:val="003F3213"/>
    <w:rsid w:val="003F4947"/>
    <w:rsid w:val="003F4E85"/>
    <w:rsid w:val="003F6D4D"/>
    <w:rsid w:val="004008AD"/>
    <w:rsid w:val="004022D2"/>
    <w:rsid w:val="00403610"/>
    <w:rsid w:val="00410620"/>
    <w:rsid w:val="00410A23"/>
    <w:rsid w:val="004114B2"/>
    <w:rsid w:val="00411ACA"/>
    <w:rsid w:val="00411B02"/>
    <w:rsid w:val="00413B89"/>
    <w:rsid w:val="00415C9F"/>
    <w:rsid w:val="00420C80"/>
    <w:rsid w:val="00421873"/>
    <w:rsid w:val="00423B77"/>
    <w:rsid w:val="00423DEF"/>
    <w:rsid w:val="00423F46"/>
    <w:rsid w:val="00424469"/>
    <w:rsid w:val="00427C90"/>
    <w:rsid w:val="00433D3C"/>
    <w:rsid w:val="00434C09"/>
    <w:rsid w:val="004369CF"/>
    <w:rsid w:val="0044034C"/>
    <w:rsid w:val="0044393F"/>
    <w:rsid w:val="0044448C"/>
    <w:rsid w:val="0044570A"/>
    <w:rsid w:val="00445E1D"/>
    <w:rsid w:val="00446F7E"/>
    <w:rsid w:val="00455A87"/>
    <w:rsid w:val="0045790C"/>
    <w:rsid w:val="00457C07"/>
    <w:rsid w:val="0046228E"/>
    <w:rsid w:val="0046350D"/>
    <w:rsid w:val="004656F9"/>
    <w:rsid w:val="00466F01"/>
    <w:rsid w:val="00471106"/>
    <w:rsid w:val="00475381"/>
    <w:rsid w:val="004766B1"/>
    <w:rsid w:val="0047732E"/>
    <w:rsid w:val="004805F7"/>
    <w:rsid w:val="00481A9E"/>
    <w:rsid w:val="00482EAF"/>
    <w:rsid w:val="00482FBD"/>
    <w:rsid w:val="00485F6D"/>
    <w:rsid w:val="00487DB6"/>
    <w:rsid w:val="00491C94"/>
    <w:rsid w:val="004969A4"/>
    <w:rsid w:val="00497816"/>
    <w:rsid w:val="004A24AE"/>
    <w:rsid w:val="004A3F6E"/>
    <w:rsid w:val="004A61BB"/>
    <w:rsid w:val="004A669F"/>
    <w:rsid w:val="004A6AF9"/>
    <w:rsid w:val="004B4AC1"/>
    <w:rsid w:val="004B5DE2"/>
    <w:rsid w:val="004B705D"/>
    <w:rsid w:val="004C043E"/>
    <w:rsid w:val="004C050A"/>
    <w:rsid w:val="004C2884"/>
    <w:rsid w:val="004C2C59"/>
    <w:rsid w:val="004C34DE"/>
    <w:rsid w:val="004C4825"/>
    <w:rsid w:val="004C562F"/>
    <w:rsid w:val="004C6D17"/>
    <w:rsid w:val="004D091C"/>
    <w:rsid w:val="004D2695"/>
    <w:rsid w:val="004D26B3"/>
    <w:rsid w:val="004D3240"/>
    <w:rsid w:val="004D5162"/>
    <w:rsid w:val="004D5E51"/>
    <w:rsid w:val="004D6914"/>
    <w:rsid w:val="004E08C9"/>
    <w:rsid w:val="004E0B2F"/>
    <w:rsid w:val="004E162C"/>
    <w:rsid w:val="004E3622"/>
    <w:rsid w:val="004E3B47"/>
    <w:rsid w:val="004E62AD"/>
    <w:rsid w:val="004E73E2"/>
    <w:rsid w:val="004E7654"/>
    <w:rsid w:val="004F0364"/>
    <w:rsid w:val="004F5994"/>
    <w:rsid w:val="004F7195"/>
    <w:rsid w:val="00501FB5"/>
    <w:rsid w:val="00502ACF"/>
    <w:rsid w:val="00503483"/>
    <w:rsid w:val="00503B60"/>
    <w:rsid w:val="0050647C"/>
    <w:rsid w:val="00510D5C"/>
    <w:rsid w:val="00512DAF"/>
    <w:rsid w:val="00512EF9"/>
    <w:rsid w:val="00514D4C"/>
    <w:rsid w:val="00520E69"/>
    <w:rsid w:val="005219EF"/>
    <w:rsid w:val="0052650B"/>
    <w:rsid w:val="00526646"/>
    <w:rsid w:val="00527BBD"/>
    <w:rsid w:val="00531B80"/>
    <w:rsid w:val="00532C36"/>
    <w:rsid w:val="0053568B"/>
    <w:rsid w:val="00536039"/>
    <w:rsid w:val="00537891"/>
    <w:rsid w:val="00540861"/>
    <w:rsid w:val="005408F5"/>
    <w:rsid w:val="00541981"/>
    <w:rsid w:val="00543398"/>
    <w:rsid w:val="00546A38"/>
    <w:rsid w:val="00546EFF"/>
    <w:rsid w:val="005571DB"/>
    <w:rsid w:val="00560F95"/>
    <w:rsid w:val="0056262D"/>
    <w:rsid w:val="005654B1"/>
    <w:rsid w:val="00565CA0"/>
    <w:rsid w:val="00567101"/>
    <w:rsid w:val="0057259D"/>
    <w:rsid w:val="005727A6"/>
    <w:rsid w:val="00573C3B"/>
    <w:rsid w:val="00575A8D"/>
    <w:rsid w:val="00575FD2"/>
    <w:rsid w:val="00576432"/>
    <w:rsid w:val="00580509"/>
    <w:rsid w:val="00580A42"/>
    <w:rsid w:val="005863FB"/>
    <w:rsid w:val="00586C5F"/>
    <w:rsid w:val="00587267"/>
    <w:rsid w:val="005901EF"/>
    <w:rsid w:val="00593D2E"/>
    <w:rsid w:val="005963CC"/>
    <w:rsid w:val="00597CBB"/>
    <w:rsid w:val="005A040D"/>
    <w:rsid w:val="005A0D70"/>
    <w:rsid w:val="005A1C11"/>
    <w:rsid w:val="005A3A4B"/>
    <w:rsid w:val="005A51FE"/>
    <w:rsid w:val="005B12CF"/>
    <w:rsid w:val="005B1412"/>
    <w:rsid w:val="005B174A"/>
    <w:rsid w:val="005B1B6C"/>
    <w:rsid w:val="005B5889"/>
    <w:rsid w:val="005C172F"/>
    <w:rsid w:val="005C3F8A"/>
    <w:rsid w:val="005C4860"/>
    <w:rsid w:val="005C5F38"/>
    <w:rsid w:val="005C6539"/>
    <w:rsid w:val="005C6D04"/>
    <w:rsid w:val="005D045A"/>
    <w:rsid w:val="005D0E1C"/>
    <w:rsid w:val="005D4480"/>
    <w:rsid w:val="005E0598"/>
    <w:rsid w:val="005E153C"/>
    <w:rsid w:val="005E1618"/>
    <w:rsid w:val="005E2EDC"/>
    <w:rsid w:val="005E67B7"/>
    <w:rsid w:val="005E6CB6"/>
    <w:rsid w:val="005F263E"/>
    <w:rsid w:val="005F27F3"/>
    <w:rsid w:val="005F2DED"/>
    <w:rsid w:val="005F7075"/>
    <w:rsid w:val="005F7EE2"/>
    <w:rsid w:val="006001D8"/>
    <w:rsid w:val="00603171"/>
    <w:rsid w:val="00605ED8"/>
    <w:rsid w:val="00606C88"/>
    <w:rsid w:val="0061151E"/>
    <w:rsid w:val="006119A0"/>
    <w:rsid w:val="00611AE7"/>
    <w:rsid w:val="00612385"/>
    <w:rsid w:val="0061259B"/>
    <w:rsid w:val="006133B5"/>
    <w:rsid w:val="00616167"/>
    <w:rsid w:val="00621340"/>
    <w:rsid w:val="00624EB3"/>
    <w:rsid w:val="00630DB5"/>
    <w:rsid w:val="00630F54"/>
    <w:rsid w:val="006326EE"/>
    <w:rsid w:val="0064127B"/>
    <w:rsid w:val="00641971"/>
    <w:rsid w:val="0064245E"/>
    <w:rsid w:val="00644ACF"/>
    <w:rsid w:val="00644DC8"/>
    <w:rsid w:val="00645555"/>
    <w:rsid w:val="0064619E"/>
    <w:rsid w:val="00646B5A"/>
    <w:rsid w:val="00651E91"/>
    <w:rsid w:val="006630CC"/>
    <w:rsid w:val="0066610D"/>
    <w:rsid w:val="00666740"/>
    <w:rsid w:val="00670B7A"/>
    <w:rsid w:val="00670FAC"/>
    <w:rsid w:val="0067203E"/>
    <w:rsid w:val="006726FE"/>
    <w:rsid w:val="00673222"/>
    <w:rsid w:val="00674643"/>
    <w:rsid w:val="006755E0"/>
    <w:rsid w:val="00675FA2"/>
    <w:rsid w:val="00676B06"/>
    <w:rsid w:val="00677336"/>
    <w:rsid w:val="006803A2"/>
    <w:rsid w:val="00680483"/>
    <w:rsid w:val="00682B5D"/>
    <w:rsid w:val="00682D26"/>
    <w:rsid w:val="00683DA0"/>
    <w:rsid w:val="00684BF9"/>
    <w:rsid w:val="00685E69"/>
    <w:rsid w:val="00690254"/>
    <w:rsid w:val="006906BC"/>
    <w:rsid w:val="00692315"/>
    <w:rsid w:val="00692C6C"/>
    <w:rsid w:val="006956F2"/>
    <w:rsid w:val="00696922"/>
    <w:rsid w:val="006977D0"/>
    <w:rsid w:val="006977E9"/>
    <w:rsid w:val="006A49ED"/>
    <w:rsid w:val="006B02A0"/>
    <w:rsid w:val="006B1D81"/>
    <w:rsid w:val="006B278C"/>
    <w:rsid w:val="006B70D6"/>
    <w:rsid w:val="006C1BB6"/>
    <w:rsid w:val="006C5CB7"/>
    <w:rsid w:val="006C5F90"/>
    <w:rsid w:val="006C6D28"/>
    <w:rsid w:val="006C743F"/>
    <w:rsid w:val="006C75DB"/>
    <w:rsid w:val="006D0C22"/>
    <w:rsid w:val="006D0C4B"/>
    <w:rsid w:val="006D53EB"/>
    <w:rsid w:val="006D7ED0"/>
    <w:rsid w:val="006E2AFB"/>
    <w:rsid w:val="006E40D9"/>
    <w:rsid w:val="006E5BA1"/>
    <w:rsid w:val="006F049E"/>
    <w:rsid w:val="006F2284"/>
    <w:rsid w:val="006F325E"/>
    <w:rsid w:val="006F49D8"/>
    <w:rsid w:val="00700A9A"/>
    <w:rsid w:val="0070217C"/>
    <w:rsid w:val="007021CE"/>
    <w:rsid w:val="00702936"/>
    <w:rsid w:val="00702DC7"/>
    <w:rsid w:val="00710266"/>
    <w:rsid w:val="00713A32"/>
    <w:rsid w:val="00713C0C"/>
    <w:rsid w:val="00717828"/>
    <w:rsid w:val="00720B8C"/>
    <w:rsid w:val="007279ED"/>
    <w:rsid w:val="007313D7"/>
    <w:rsid w:val="00732007"/>
    <w:rsid w:val="00734B4D"/>
    <w:rsid w:val="00737482"/>
    <w:rsid w:val="00737850"/>
    <w:rsid w:val="00737BB4"/>
    <w:rsid w:val="00740775"/>
    <w:rsid w:val="00742C5D"/>
    <w:rsid w:val="00743A50"/>
    <w:rsid w:val="00745099"/>
    <w:rsid w:val="00751881"/>
    <w:rsid w:val="00751CBD"/>
    <w:rsid w:val="0075450F"/>
    <w:rsid w:val="0075480E"/>
    <w:rsid w:val="00754F13"/>
    <w:rsid w:val="00757A6D"/>
    <w:rsid w:val="007632C9"/>
    <w:rsid w:val="0076529C"/>
    <w:rsid w:val="00765764"/>
    <w:rsid w:val="00767957"/>
    <w:rsid w:val="007700FE"/>
    <w:rsid w:val="0077028C"/>
    <w:rsid w:val="00773D24"/>
    <w:rsid w:val="00777FEC"/>
    <w:rsid w:val="00780C12"/>
    <w:rsid w:val="0078108A"/>
    <w:rsid w:val="00785661"/>
    <w:rsid w:val="007909B1"/>
    <w:rsid w:val="00791716"/>
    <w:rsid w:val="00793C94"/>
    <w:rsid w:val="007A365F"/>
    <w:rsid w:val="007A4889"/>
    <w:rsid w:val="007A4E3C"/>
    <w:rsid w:val="007A694B"/>
    <w:rsid w:val="007A74CD"/>
    <w:rsid w:val="007B0011"/>
    <w:rsid w:val="007B2FDB"/>
    <w:rsid w:val="007B37C7"/>
    <w:rsid w:val="007B6222"/>
    <w:rsid w:val="007B6634"/>
    <w:rsid w:val="007B69E9"/>
    <w:rsid w:val="007C2328"/>
    <w:rsid w:val="007C483A"/>
    <w:rsid w:val="007C4979"/>
    <w:rsid w:val="007C535A"/>
    <w:rsid w:val="007D061E"/>
    <w:rsid w:val="007D08D5"/>
    <w:rsid w:val="007D2F84"/>
    <w:rsid w:val="007D4936"/>
    <w:rsid w:val="007D5BD7"/>
    <w:rsid w:val="007D7D97"/>
    <w:rsid w:val="007E2663"/>
    <w:rsid w:val="007F0310"/>
    <w:rsid w:val="007F48D5"/>
    <w:rsid w:val="007F571D"/>
    <w:rsid w:val="007F5F49"/>
    <w:rsid w:val="007F6B68"/>
    <w:rsid w:val="008006E0"/>
    <w:rsid w:val="0080234B"/>
    <w:rsid w:val="00802543"/>
    <w:rsid w:val="0080390F"/>
    <w:rsid w:val="00805A05"/>
    <w:rsid w:val="00810A21"/>
    <w:rsid w:val="00811DEA"/>
    <w:rsid w:val="00821212"/>
    <w:rsid w:val="00821692"/>
    <w:rsid w:val="00822D87"/>
    <w:rsid w:val="00823B82"/>
    <w:rsid w:val="00824797"/>
    <w:rsid w:val="00824B3B"/>
    <w:rsid w:val="00825C2C"/>
    <w:rsid w:val="00826785"/>
    <w:rsid w:val="0083144B"/>
    <w:rsid w:val="00834750"/>
    <w:rsid w:val="008354BD"/>
    <w:rsid w:val="00835B51"/>
    <w:rsid w:val="008411FC"/>
    <w:rsid w:val="00842BC6"/>
    <w:rsid w:val="0084595E"/>
    <w:rsid w:val="00850EA7"/>
    <w:rsid w:val="00852D13"/>
    <w:rsid w:val="00853878"/>
    <w:rsid w:val="0085515C"/>
    <w:rsid w:val="008577C9"/>
    <w:rsid w:val="0086021D"/>
    <w:rsid w:val="008607A0"/>
    <w:rsid w:val="00861FE1"/>
    <w:rsid w:val="00862019"/>
    <w:rsid w:val="008633DF"/>
    <w:rsid w:val="00863F09"/>
    <w:rsid w:val="00866871"/>
    <w:rsid w:val="008740F4"/>
    <w:rsid w:val="00874A46"/>
    <w:rsid w:val="00874CD8"/>
    <w:rsid w:val="0087643C"/>
    <w:rsid w:val="00877F44"/>
    <w:rsid w:val="00880008"/>
    <w:rsid w:val="00882045"/>
    <w:rsid w:val="00883711"/>
    <w:rsid w:val="00883B8F"/>
    <w:rsid w:val="0088455D"/>
    <w:rsid w:val="008906F9"/>
    <w:rsid w:val="00890D9D"/>
    <w:rsid w:val="008916D6"/>
    <w:rsid w:val="008979CA"/>
    <w:rsid w:val="008A136E"/>
    <w:rsid w:val="008A1E4A"/>
    <w:rsid w:val="008A253A"/>
    <w:rsid w:val="008A64E0"/>
    <w:rsid w:val="008A66E6"/>
    <w:rsid w:val="008A6C67"/>
    <w:rsid w:val="008A7F70"/>
    <w:rsid w:val="008B1421"/>
    <w:rsid w:val="008B44EA"/>
    <w:rsid w:val="008B479E"/>
    <w:rsid w:val="008B5DAF"/>
    <w:rsid w:val="008B5FBA"/>
    <w:rsid w:val="008B6A7B"/>
    <w:rsid w:val="008C0548"/>
    <w:rsid w:val="008C0586"/>
    <w:rsid w:val="008C1D41"/>
    <w:rsid w:val="008C1F11"/>
    <w:rsid w:val="008C297C"/>
    <w:rsid w:val="008C33E6"/>
    <w:rsid w:val="008C6D86"/>
    <w:rsid w:val="008C7D91"/>
    <w:rsid w:val="008D270C"/>
    <w:rsid w:val="008D303E"/>
    <w:rsid w:val="008D3687"/>
    <w:rsid w:val="008D5C2F"/>
    <w:rsid w:val="008E1205"/>
    <w:rsid w:val="008E745F"/>
    <w:rsid w:val="008F0555"/>
    <w:rsid w:val="008F3E42"/>
    <w:rsid w:val="008F41C0"/>
    <w:rsid w:val="008F5EF8"/>
    <w:rsid w:val="008F5FFD"/>
    <w:rsid w:val="00900107"/>
    <w:rsid w:val="00900DFA"/>
    <w:rsid w:val="009031AC"/>
    <w:rsid w:val="009063EA"/>
    <w:rsid w:val="00906649"/>
    <w:rsid w:val="00914F51"/>
    <w:rsid w:val="0091579D"/>
    <w:rsid w:val="009176AC"/>
    <w:rsid w:val="00920FEA"/>
    <w:rsid w:val="00921E43"/>
    <w:rsid w:val="00925DDC"/>
    <w:rsid w:val="00925FE2"/>
    <w:rsid w:val="009278D5"/>
    <w:rsid w:val="00930DD8"/>
    <w:rsid w:val="00931644"/>
    <w:rsid w:val="009331E1"/>
    <w:rsid w:val="00934DE4"/>
    <w:rsid w:val="00940306"/>
    <w:rsid w:val="009404B4"/>
    <w:rsid w:val="00940E9B"/>
    <w:rsid w:val="009422F6"/>
    <w:rsid w:val="00944421"/>
    <w:rsid w:val="009446D1"/>
    <w:rsid w:val="00946C17"/>
    <w:rsid w:val="0094798A"/>
    <w:rsid w:val="00950A7D"/>
    <w:rsid w:val="009520F1"/>
    <w:rsid w:val="00960B04"/>
    <w:rsid w:val="009625CC"/>
    <w:rsid w:val="009626CB"/>
    <w:rsid w:val="00962AEF"/>
    <w:rsid w:val="00963A09"/>
    <w:rsid w:val="0096459F"/>
    <w:rsid w:val="00964605"/>
    <w:rsid w:val="0096672E"/>
    <w:rsid w:val="00966A20"/>
    <w:rsid w:val="00970AA9"/>
    <w:rsid w:val="009718D3"/>
    <w:rsid w:val="00972B38"/>
    <w:rsid w:val="00972D7C"/>
    <w:rsid w:val="00973A83"/>
    <w:rsid w:val="0097452F"/>
    <w:rsid w:val="00977096"/>
    <w:rsid w:val="00980849"/>
    <w:rsid w:val="009814AB"/>
    <w:rsid w:val="00981AF1"/>
    <w:rsid w:val="009831B2"/>
    <w:rsid w:val="00983243"/>
    <w:rsid w:val="0098618A"/>
    <w:rsid w:val="00986D71"/>
    <w:rsid w:val="00986F36"/>
    <w:rsid w:val="009907F2"/>
    <w:rsid w:val="00993D04"/>
    <w:rsid w:val="00995A15"/>
    <w:rsid w:val="009A0624"/>
    <w:rsid w:val="009A5219"/>
    <w:rsid w:val="009B4C0C"/>
    <w:rsid w:val="009B5045"/>
    <w:rsid w:val="009B6018"/>
    <w:rsid w:val="009C063C"/>
    <w:rsid w:val="009C091B"/>
    <w:rsid w:val="009C0996"/>
    <w:rsid w:val="009C12DA"/>
    <w:rsid w:val="009C26B2"/>
    <w:rsid w:val="009C5006"/>
    <w:rsid w:val="009C57C4"/>
    <w:rsid w:val="009C603E"/>
    <w:rsid w:val="009C63F1"/>
    <w:rsid w:val="009D0E22"/>
    <w:rsid w:val="009D48D7"/>
    <w:rsid w:val="009D5D1F"/>
    <w:rsid w:val="009E3517"/>
    <w:rsid w:val="009E3CEF"/>
    <w:rsid w:val="009E5456"/>
    <w:rsid w:val="009E5BCB"/>
    <w:rsid w:val="009E7F1A"/>
    <w:rsid w:val="009F0F60"/>
    <w:rsid w:val="009F1D3B"/>
    <w:rsid w:val="009F2F1B"/>
    <w:rsid w:val="009F4CAE"/>
    <w:rsid w:val="00A013AE"/>
    <w:rsid w:val="00A01F52"/>
    <w:rsid w:val="00A05370"/>
    <w:rsid w:val="00A10A73"/>
    <w:rsid w:val="00A132FD"/>
    <w:rsid w:val="00A13EE4"/>
    <w:rsid w:val="00A16D6D"/>
    <w:rsid w:val="00A200BE"/>
    <w:rsid w:val="00A211CC"/>
    <w:rsid w:val="00A2187B"/>
    <w:rsid w:val="00A21EC8"/>
    <w:rsid w:val="00A22BE4"/>
    <w:rsid w:val="00A22EFF"/>
    <w:rsid w:val="00A26F89"/>
    <w:rsid w:val="00A32C60"/>
    <w:rsid w:val="00A34650"/>
    <w:rsid w:val="00A34771"/>
    <w:rsid w:val="00A36464"/>
    <w:rsid w:val="00A36CAB"/>
    <w:rsid w:val="00A406BC"/>
    <w:rsid w:val="00A41B7F"/>
    <w:rsid w:val="00A41D30"/>
    <w:rsid w:val="00A46442"/>
    <w:rsid w:val="00A46D8D"/>
    <w:rsid w:val="00A509A4"/>
    <w:rsid w:val="00A52D0C"/>
    <w:rsid w:val="00A54663"/>
    <w:rsid w:val="00A552AC"/>
    <w:rsid w:val="00A56B87"/>
    <w:rsid w:val="00A570B1"/>
    <w:rsid w:val="00A71122"/>
    <w:rsid w:val="00A718D1"/>
    <w:rsid w:val="00A72795"/>
    <w:rsid w:val="00A74DDF"/>
    <w:rsid w:val="00A762A7"/>
    <w:rsid w:val="00A7700C"/>
    <w:rsid w:val="00A81B59"/>
    <w:rsid w:val="00A81B73"/>
    <w:rsid w:val="00A82205"/>
    <w:rsid w:val="00A868B5"/>
    <w:rsid w:val="00A91776"/>
    <w:rsid w:val="00A94747"/>
    <w:rsid w:val="00A94755"/>
    <w:rsid w:val="00A96A07"/>
    <w:rsid w:val="00AA0AF5"/>
    <w:rsid w:val="00AA0D83"/>
    <w:rsid w:val="00AA1D31"/>
    <w:rsid w:val="00AA3769"/>
    <w:rsid w:val="00AA5121"/>
    <w:rsid w:val="00AA5CB5"/>
    <w:rsid w:val="00AA68BE"/>
    <w:rsid w:val="00AB0429"/>
    <w:rsid w:val="00AB27CB"/>
    <w:rsid w:val="00AB3550"/>
    <w:rsid w:val="00AC0141"/>
    <w:rsid w:val="00AC0571"/>
    <w:rsid w:val="00AC085D"/>
    <w:rsid w:val="00AC132A"/>
    <w:rsid w:val="00AC1844"/>
    <w:rsid w:val="00AC4A0F"/>
    <w:rsid w:val="00AD0A4E"/>
    <w:rsid w:val="00AD1BEF"/>
    <w:rsid w:val="00AD1D40"/>
    <w:rsid w:val="00AE13EE"/>
    <w:rsid w:val="00AE4D9A"/>
    <w:rsid w:val="00AE5D7B"/>
    <w:rsid w:val="00AE5FFE"/>
    <w:rsid w:val="00AE7362"/>
    <w:rsid w:val="00AF00F8"/>
    <w:rsid w:val="00AF062A"/>
    <w:rsid w:val="00AF0D22"/>
    <w:rsid w:val="00AF1966"/>
    <w:rsid w:val="00AF1FAF"/>
    <w:rsid w:val="00AF2C4F"/>
    <w:rsid w:val="00AF2C64"/>
    <w:rsid w:val="00AF4165"/>
    <w:rsid w:val="00AF4D5D"/>
    <w:rsid w:val="00B046A3"/>
    <w:rsid w:val="00B052B6"/>
    <w:rsid w:val="00B111D3"/>
    <w:rsid w:val="00B12A09"/>
    <w:rsid w:val="00B140CC"/>
    <w:rsid w:val="00B14731"/>
    <w:rsid w:val="00B14F3F"/>
    <w:rsid w:val="00B15000"/>
    <w:rsid w:val="00B162F5"/>
    <w:rsid w:val="00B1741D"/>
    <w:rsid w:val="00B2027B"/>
    <w:rsid w:val="00B2742D"/>
    <w:rsid w:val="00B27F32"/>
    <w:rsid w:val="00B31BD9"/>
    <w:rsid w:val="00B35984"/>
    <w:rsid w:val="00B40A0F"/>
    <w:rsid w:val="00B40A19"/>
    <w:rsid w:val="00B41865"/>
    <w:rsid w:val="00B41942"/>
    <w:rsid w:val="00B42CBF"/>
    <w:rsid w:val="00B458CE"/>
    <w:rsid w:val="00B4698F"/>
    <w:rsid w:val="00B51644"/>
    <w:rsid w:val="00B53A21"/>
    <w:rsid w:val="00B54BB8"/>
    <w:rsid w:val="00B55BC8"/>
    <w:rsid w:val="00B56622"/>
    <w:rsid w:val="00B57967"/>
    <w:rsid w:val="00B6008D"/>
    <w:rsid w:val="00B606CF"/>
    <w:rsid w:val="00B60A38"/>
    <w:rsid w:val="00B66783"/>
    <w:rsid w:val="00B740AC"/>
    <w:rsid w:val="00B7675A"/>
    <w:rsid w:val="00B76A2F"/>
    <w:rsid w:val="00B77A70"/>
    <w:rsid w:val="00B82627"/>
    <w:rsid w:val="00B85ABD"/>
    <w:rsid w:val="00B86799"/>
    <w:rsid w:val="00B87A07"/>
    <w:rsid w:val="00B932CF"/>
    <w:rsid w:val="00B936EB"/>
    <w:rsid w:val="00B94D87"/>
    <w:rsid w:val="00B955E1"/>
    <w:rsid w:val="00B956F5"/>
    <w:rsid w:val="00B9684D"/>
    <w:rsid w:val="00BA3B72"/>
    <w:rsid w:val="00BA44AF"/>
    <w:rsid w:val="00BA4BA9"/>
    <w:rsid w:val="00BA4CCD"/>
    <w:rsid w:val="00BA7DB9"/>
    <w:rsid w:val="00BB028A"/>
    <w:rsid w:val="00BB0F42"/>
    <w:rsid w:val="00BB4EF7"/>
    <w:rsid w:val="00BC254B"/>
    <w:rsid w:val="00BC57D3"/>
    <w:rsid w:val="00BD3C17"/>
    <w:rsid w:val="00BD517B"/>
    <w:rsid w:val="00BD557E"/>
    <w:rsid w:val="00BE0AB1"/>
    <w:rsid w:val="00BE1F8A"/>
    <w:rsid w:val="00BE2D48"/>
    <w:rsid w:val="00BE3F7E"/>
    <w:rsid w:val="00BE3FCA"/>
    <w:rsid w:val="00BE78FC"/>
    <w:rsid w:val="00BF06FD"/>
    <w:rsid w:val="00BF54F3"/>
    <w:rsid w:val="00BF641E"/>
    <w:rsid w:val="00BF66E5"/>
    <w:rsid w:val="00BF75DC"/>
    <w:rsid w:val="00C01748"/>
    <w:rsid w:val="00C027EF"/>
    <w:rsid w:val="00C11FAE"/>
    <w:rsid w:val="00C12C51"/>
    <w:rsid w:val="00C14519"/>
    <w:rsid w:val="00C15F03"/>
    <w:rsid w:val="00C15FFF"/>
    <w:rsid w:val="00C2002E"/>
    <w:rsid w:val="00C2075D"/>
    <w:rsid w:val="00C23CB6"/>
    <w:rsid w:val="00C26C8C"/>
    <w:rsid w:val="00C26D80"/>
    <w:rsid w:val="00C2724A"/>
    <w:rsid w:val="00C27DC6"/>
    <w:rsid w:val="00C31705"/>
    <w:rsid w:val="00C31D22"/>
    <w:rsid w:val="00C32DA7"/>
    <w:rsid w:val="00C33E40"/>
    <w:rsid w:val="00C34B00"/>
    <w:rsid w:val="00C37683"/>
    <w:rsid w:val="00C45860"/>
    <w:rsid w:val="00C5047B"/>
    <w:rsid w:val="00C5096D"/>
    <w:rsid w:val="00C53585"/>
    <w:rsid w:val="00C53B27"/>
    <w:rsid w:val="00C54364"/>
    <w:rsid w:val="00C54647"/>
    <w:rsid w:val="00C55CFE"/>
    <w:rsid w:val="00C60C3F"/>
    <w:rsid w:val="00C61155"/>
    <w:rsid w:val="00C6749F"/>
    <w:rsid w:val="00C71C79"/>
    <w:rsid w:val="00C71F7C"/>
    <w:rsid w:val="00C72839"/>
    <w:rsid w:val="00C7294C"/>
    <w:rsid w:val="00C74AB3"/>
    <w:rsid w:val="00C810DD"/>
    <w:rsid w:val="00C81FA7"/>
    <w:rsid w:val="00C82219"/>
    <w:rsid w:val="00C8232F"/>
    <w:rsid w:val="00C83EEB"/>
    <w:rsid w:val="00C84D66"/>
    <w:rsid w:val="00C85010"/>
    <w:rsid w:val="00C850BF"/>
    <w:rsid w:val="00C86BFB"/>
    <w:rsid w:val="00C915DD"/>
    <w:rsid w:val="00C94AEA"/>
    <w:rsid w:val="00C94EE0"/>
    <w:rsid w:val="00C95BD9"/>
    <w:rsid w:val="00CA0487"/>
    <w:rsid w:val="00CA0F57"/>
    <w:rsid w:val="00CA10FB"/>
    <w:rsid w:val="00CA142F"/>
    <w:rsid w:val="00CA2302"/>
    <w:rsid w:val="00CA38A1"/>
    <w:rsid w:val="00CA3A23"/>
    <w:rsid w:val="00CA6A2E"/>
    <w:rsid w:val="00CB0BCB"/>
    <w:rsid w:val="00CB1ACE"/>
    <w:rsid w:val="00CB1BDB"/>
    <w:rsid w:val="00CB542D"/>
    <w:rsid w:val="00CC0325"/>
    <w:rsid w:val="00CC06CA"/>
    <w:rsid w:val="00CC2C0B"/>
    <w:rsid w:val="00CC51F8"/>
    <w:rsid w:val="00CC6F10"/>
    <w:rsid w:val="00CC786E"/>
    <w:rsid w:val="00CC7AAB"/>
    <w:rsid w:val="00CD005E"/>
    <w:rsid w:val="00CD1D51"/>
    <w:rsid w:val="00CD3A23"/>
    <w:rsid w:val="00CD3A6D"/>
    <w:rsid w:val="00CD4395"/>
    <w:rsid w:val="00CD4BB6"/>
    <w:rsid w:val="00CE1A7C"/>
    <w:rsid w:val="00CE3EB9"/>
    <w:rsid w:val="00CE5284"/>
    <w:rsid w:val="00CF0229"/>
    <w:rsid w:val="00CF148E"/>
    <w:rsid w:val="00CF6B2D"/>
    <w:rsid w:val="00D00A95"/>
    <w:rsid w:val="00D027F1"/>
    <w:rsid w:val="00D03D21"/>
    <w:rsid w:val="00D065C6"/>
    <w:rsid w:val="00D07589"/>
    <w:rsid w:val="00D110C5"/>
    <w:rsid w:val="00D11145"/>
    <w:rsid w:val="00D12476"/>
    <w:rsid w:val="00D14453"/>
    <w:rsid w:val="00D15B58"/>
    <w:rsid w:val="00D17774"/>
    <w:rsid w:val="00D23540"/>
    <w:rsid w:val="00D23E40"/>
    <w:rsid w:val="00D23FD2"/>
    <w:rsid w:val="00D31852"/>
    <w:rsid w:val="00D34A09"/>
    <w:rsid w:val="00D3654E"/>
    <w:rsid w:val="00D41BBB"/>
    <w:rsid w:val="00D43D06"/>
    <w:rsid w:val="00D4514C"/>
    <w:rsid w:val="00D471DC"/>
    <w:rsid w:val="00D474B6"/>
    <w:rsid w:val="00D50418"/>
    <w:rsid w:val="00D50684"/>
    <w:rsid w:val="00D518AC"/>
    <w:rsid w:val="00D52702"/>
    <w:rsid w:val="00D54D2C"/>
    <w:rsid w:val="00D60E75"/>
    <w:rsid w:val="00D645AF"/>
    <w:rsid w:val="00D6465C"/>
    <w:rsid w:val="00D67533"/>
    <w:rsid w:val="00D67F65"/>
    <w:rsid w:val="00D709EF"/>
    <w:rsid w:val="00D728B1"/>
    <w:rsid w:val="00D73A62"/>
    <w:rsid w:val="00D73B90"/>
    <w:rsid w:val="00D805D5"/>
    <w:rsid w:val="00D80FEE"/>
    <w:rsid w:val="00D83308"/>
    <w:rsid w:val="00D9020F"/>
    <w:rsid w:val="00D937F3"/>
    <w:rsid w:val="00D93CC5"/>
    <w:rsid w:val="00D94EDE"/>
    <w:rsid w:val="00D95067"/>
    <w:rsid w:val="00D9635B"/>
    <w:rsid w:val="00DA1541"/>
    <w:rsid w:val="00DA1712"/>
    <w:rsid w:val="00DA5DF4"/>
    <w:rsid w:val="00DA799A"/>
    <w:rsid w:val="00DB00C5"/>
    <w:rsid w:val="00DB080C"/>
    <w:rsid w:val="00DB0E4B"/>
    <w:rsid w:val="00DB2A74"/>
    <w:rsid w:val="00DB450D"/>
    <w:rsid w:val="00DB6A56"/>
    <w:rsid w:val="00DC2E52"/>
    <w:rsid w:val="00DC333C"/>
    <w:rsid w:val="00DC5F24"/>
    <w:rsid w:val="00DC7807"/>
    <w:rsid w:val="00DC7FB6"/>
    <w:rsid w:val="00DD0BCC"/>
    <w:rsid w:val="00DD0F18"/>
    <w:rsid w:val="00DD33C7"/>
    <w:rsid w:val="00DD55F6"/>
    <w:rsid w:val="00DD574C"/>
    <w:rsid w:val="00DD6026"/>
    <w:rsid w:val="00DD7F11"/>
    <w:rsid w:val="00DE28E1"/>
    <w:rsid w:val="00DE2C75"/>
    <w:rsid w:val="00DE6F06"/>
    <w:rsid w:val="00DE7893"/>
    <w:rsid w:val="00DF0468"/>
    <w:rsid w:val="00DF0EAA"/>
    <w:rsid w:val="00DF0FA8"/>
    <w:rsid w:val="00DF1754"/>
    <w:rsid w:val="00DF203C"/>
    <w:rsid w:val="00DF23D2"/>
    <w:rsid w:val="00DF3345"/>
    <w:rsid w:val="00DF3515"/>
    <w:rsid w:val="00DF5025"/>
    <w:rsid w:val="00DF7FC0"/>
    <w:rsid w:val="00E01459"/>
    <w:rsid w:val="00E031DE"/>
    <w:rsid w:val="00E03430"/>
    <w:rsid w:val="00E0429A"/>
    <w:rsid w:val="00E0679B"/>
    <w:rsid w:val="00E11EEF"/>
    <w:rsid w:val="00E13921"/>
    <w:rsid w:val="00E13A0B"/>
    <w:rsid w:val="00E13A4D"/>
    <w:rsid w:val="00E13BB9"/>
    <w:rsid w:val="00E16C36"/>
    <w:rsid w:val="00E2053E"/>
    <w:rsid w:val="00E30AE3"/>
    <w:rsid w:val="00E31C59"/>
    <w:rsid w:val="00E330A3"/>
    <w:rsid w:val="00E3407E"/>
    <w:rsid w:val="00E35B68"/>
    <w:rsid w:val="00E36259"/>
    <w:rsid w:val="00E37E9A"/>
    <w:rsid w:val="00E4345F"/>
    <w:rsid w:val="00E46DF8"/>
    <w:rsid w:val="00E47030"/>
    <w:rsid w:val="00E55EA3"/>
    <w:rsid w:val="00E616E7"/>
    <w:rsid w:val="00E63A71"/>
    <w:rsid w:val="00E63D6D"/>
    <w:rsid w:val="00E67D5A"/>
    <w:rsid w:val="00E723E6"/>
    <w:rsid w:val="00E72B97"/>
    <w:rsid w:val="00E748CE"/>
    <w:rsid w:val="00E768F4"/>
    <w:rsid w:val="00E7730B"/>
    <w:rsid w:val="00E80D47"/>
    <w:rsid w:val="00E817E6"/>
    <w:rsid w:val="00E8290B"/>
    <w:rsid w:val="00E83222"/>
    <w:rsid w:val="00E84A4A"/>
    <w:rsid w:val="00E84B4B"/>
    <w:rsid w:val="00E856C5"/>
    <w:rsid w:val="00E85C6A"/>
    <w:rsid w:val="00E86F84"/>
    <w:rsid w:val="00E92D6E"/>
    <w:rsid w:val="00EA5CD8"/>
    <w:rsid w:val="00EA70E3"/>
    <w:rsid w:val="00EA7AA4"/>
    <w:rsid w:val="00EB0068"/>
    <w:rsid w:val="00EB11B1"/>
    <w:rsid w:val="00EB5A52"/>
    <w:rsid w:val="00EC168B"/>
    <w:rsid w:val="00EC558C"/>
    <w:rsid w:val="00ED4973"/>
    <w:rsid w:val="00ED6C90"/>
    <w:rsid w:val="00ED778A"/>
    <w:rsid w:val="00EE18A8"/>
    <w:rsid w:val="00EE1E04"/>
    <w:rsid w:val="00EE1E6F"/>
    <w:rsid w:val="00EE4830"/>
    <w:rsid w:val="00EF0648"/>
    <w:rsid w:val="00EF3F30"/>
    <w:rsid w:val="00F011C6"/>
    <w:rsid w:val="00F0136A"/>
    <w:rsid w:val="00F059C2"/>
    <w:rsid w:val="00F07F2A"/>
    <w:rsid w:val="00F11399"/>
    <w:rsid w:val="00F1153C"/>
    <w:rsid w:val="00F11E60"/>
    <w:rsid w:val="00F125E3"/>
    <w:rsid w:val="00F13148"/>
    <w:rsid w:val="00F13F79"/>
    <w:rsid w:val="00F142B3"/>
    <w:rsid w:val="00F146EC"/>
    <w:rsid w:val="00F178F0"/>
    <w:rsid w:val="00F208F5"/>
    <w:rsid w:val="00F20C00"/>
    <w:rsid w:val="00F20E7E"/>
    <w:rsid w:val="00F221ED"/>
    <w:rsid w:val="00F228D3"/>
    <w:rsid w:val="00F24CA7"/>
    <w:rsid w:val="00F26C3E"/>
    <w:rsid w:val="00F273E6"/>
    <w:rsid w:val="00F336E2"/>
    <w:rsid w:val="00F3578B"/>
    <w:rsid w:val="00F3735B"/>
    <w:rsid w:val="00F42FC4"/>
    <w:rsid w:val="00F46339"/>
    <w:rsid w:val="00F55643"/>
    <w:rsid w:val="00F5659D"/>
    <w:rsid w:val="00F61982"/>
    <w:rsid w:val="00F61ACF"/>
    <w:rsid w:val="00F6587F"/>
    <w:rsid w:val="00F6675C"/>
    <w:rsid w:val="00F7092D"/>
    <w:rsid w:val="00F80D59"/>
    <w:rsid w:val="00F811C7"/>
    <w:rsid w:val="00F85F43"/>
    <w:rsid w:val="00F8708C"/>
    <w:rsid w:val="00F8722F"/>
    <w:rsid w:val="00F931E5"/>
    <w:rsid w:val="00F9353B"/>
    <w:rsid w:val="00F95FA3"/>
    <w:rsid w:val="00FA7789"/>
    <w:rsid w:val="00FB01EC"/>
    <w:rsid w:val="00FB0262"/>
    <w:rsid w:val="00FB439B"/>
    <w:rsid w:val="00FB43B6"/>
    <w:rsid w:val="00FB52A5"/>
    <w:rsid w:val="00FB5748"/>
    <w:rsid w:val="00FC17C5"/>
    <w:rsid w:val="00FC2B50"/>
    <w:rsid w:val="00FC351E"/>
    <w:rsid w:val="00FC538B"/>
    <w:rsid w:val="00FC64CA"/>
    <w:rsid w:val="00FD17EE"/>
    <w:rsid w:val="00FD21C0"/>
    <w:rsid w:val="00FD3416"/>
    <w:rsid w:val="00FD3F2A"/>
    <w:rsid w:val="00FD50D8"/>
    <w:rsid w:val="00FD5686"/>
    <w:rsid w:val="00FD5E30"/>
    <w:rsid w:val="00FE47C8"/>
    <w:rsid w:val="00FF31FA"/>
    <w:rsid w:val="00FF3208"/>
    <w:rsid w:val="00FF4AD4"/>
    <w:rsid w:val="00FF55FD"/>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58C"/>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EC558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C558C"/>
    <w:rPr>
      <w:rFonts w:ascii="Tahoma" w:hAnsi="Tahoma" w:cs="Tahoma"/>
      <w:sz w:val="16"/>
      <w:szCs w:val="16"/>
    </w:rPr>
  </w:style>
  <w:style w:type="paragraph" w:styleId="En-tte">
    <w:name w:val="header"/>
    <w:basedOn w:val="Normal"/>
    <w:link w:val="En-tteCar"/>
    <w:uiPriority w:val="99"/>
    <w:semiHidden/>
    <w:unhideWhenUsed/>
    <w:rsid w:val="00966A20"/>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966A20"/>
  </w:style>
  <w:style w:type="paragraph" w:styleId="Pieddepage">
    <w:name w:val="footer"/>
    <w:basedOn w:val="Normal"/>
    <w:link w:val="PieddepageCar"/>
    <w:uiPriority w:val="99"/>
    <w:unhideWhenUsed/>
    <w:rsid w:val="00966A2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66A2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emf"/><Relationship Id="rId4" Type="http://schemas.openxmlformats.org/officeDocument/2006/relationships/footnotes" Target="footnotes.xml"/><Relationship Id="rId9" Type="http://schemas.openxmlformats.org/officeDocument/2006/relationships/image" Target="media/image4.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2102</Words>
  <Characters>11566</Characters>
  <Application>Microsoft Office Word</Application>
  <DocSecurity>0</DocSecurity>
  <Lines>96</Lines>
  <Paragraphs>27</Paragraphs>
  <ScaleCrop>false</ScaleCrop>
  <Company/>
  <LinksUpToDate>false</LinksUpToDate>
  <CharactersWithSpaces>13641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cp:lastPrinted>2014-01-11T16:35:00Z</cp:lastPrinted>
  <dcterms:created xsi:type="dcterms:W3CDTF">2014-01-23T13:37:00Z</dcterms:created>
  <dcterms:modified xsi:type="dcterms:W3CDTF">2014-01-23T13:37:00Z</dcterms:modified>
</cp:coreProperties>
</file>