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7906" w:rsidRPr="005F788E" w:rsidRDefault="00C27906" w:rsidP="005F788E">
      <w:pPr>
        <w:pStyle w:val="Style1"/>
        <w:widowControl/>
        <w:ind w:left="2914"/>
        <w:rPr>
          <w:rStyle w:val="FontStyle12"/>
          <w:rFonts w:asciiTheme="majorBidi" w:hAnsiTheme="majorBidi" w:cstheme="majorBidi"/>
          <w:b/>
          <w:bCs/>
          <w:sz w:val="36"/>
          <w:szCs w:val="36"/>
        </w:rPr>
      </w:pPr>
      <w:r w:rsidRPr="005F788E">
        <w:rPr>
          <w:rStyle w:val="FontStyle12"/>
          <w:rFonts w:asciiTheme="majorBidi" w:hAnsiTheme="majorBidi" w:cstheme="majorBidi"/>
          <w:b/>
          <w:bCs/>
          <w:sz w:val="36"/>
          <w:szCs w:val="36"/>
        </w:rPr>
        <w:t>Chapitre 1</w:t>
      </w:r>
    </w:p>
    <w:p w:rsidR="00C27906" w:rsidRPr="005F788E" w:rsidRDefault="00C27906" w:rsidP="005F788E">
      <w:pPr>
        <w:pStyle w:val="Style2"/>
        <w:widowControl/>
        <w:spacing w:line="240" w:lineRule="exact"/>
        <w:ind w:left="509"/>
        <w:rPr>
          <w:rFonts w:asciiTheme="majorBidi" w:hAnsiTheme="majorBidi" w:cstheme="majorBidi"/>
          <w:b/>
          <w:bCs/>
          <w:sz w:val="36"/>
          <w:szCs w:val="36"/>
        </w:rPr>
      </w:pPr>
    </w:p>
    <w:p w:rsidR="00C27906" w:rsidRPr="005F788E" w:rsidRDefault="00C27906" w:rsidP="005F788E">
      <w:pPr>
        <w:pStyle w:val="Style2"/>
        <w:widowControl/>
        <w:spacing w:before="173"/>
        <w:ind w:left="509"/>
        <w:rPr>
          <w:rStyle w:val="FontStyle11"/>
          <w:rFonts w:asciiTheme="majorBidi" w:hAnsiTheme="majorBidi" w:cstheme="majorBidi"/>
          <w:b/>
          <w:bCs/>
          <w:sz w:val="36"/>
          <w:szCs w:val="36"/>
        </w:rPr>
      </w:pPr>
      <w:r w:rsidRPr="005F788E">
        <w:rPr>
          <w:rStyle w:val="FontStyle11"/>
          <w:rFonts w:asciiTheme="majorBidi" w:hAnsiTheme="majorBidi" w:cstheme="majorBidi"/>
          <w:b/>
          <w:bCs/>
          <w:sz w:val="36"/>
          <w:szCs w:val="36"/>
        </w:rPr>
        <w:t>Généralités sur la composition des aliments</w:t>
      </w:r>
    </w:p>
    <w:p w:rsidR="00C27906" w:rsidRPr="00C27906" w:rsidRDefault="00C27906" w:rsidP="00C27906">
      <w:pPr>
        <w:pStyle w:val="Style3"/>
        <w:widowControl/>
        <w:spacing w:line="240" w:lineRule="exact"/>
        <w:rPr>
          <w:rFonts w:asciiTheme="majorBidi" w:hAnsiTheme="majorBidi" w:cstheme="majorBidi"/>
          <w:b/>
          <w:bCs/>
          <w:sz w:val="20"/>
          <w:szCs w:val="20"/>
        </w:rPr>
      </w:pPr>
    </w:p>
    <w:p w:rsidR="00C27906" w:rsidRPr="005F788E" w:rsidRDefault="00C27906" w:rsidP="00C27906">
      <w:pPr>
        <w:pStyle w:val="Style3"/>
        <w:widowControl/>
        <w:spacing w:before="130"/>
        <w:ind w:left="466"/>
        <w:rPr>
          <w:rStyle w:val="FontStyle12"/>
          <w:rFonts w:asciiTheme="majorBidi" w:hAnsiTheme="majorBidi" w:cstheme="majorBidi"/>
          <w:b/>
          <w:bCs/>
          <w:sz w:val="24"/>
          <w:szCs w:val="24"/>
        </w:rPr>
      </w:pPr>
      <w:r w:rsidRPr="005F788E">
        <w:rPr>
          <w:rStyle w:val="FontStyle12"/>
          <w:rFonts w:asciiTheme="majorBidi" w:hAnsiTheme="majorBidi" w:cstheme="majorBidi"/>
          <w:b/>
          <w:bCs/>
          <w:sz w:val="24"/>
          <w:szCs w:val="24"/>
        </w:rPr>
        <w:t>1.1 DONNÉES ANALYTIQUES</w:t>
      </w:r>
    </w:p>
    <w:p w:rsidR="00C27906" w:rsidRPr="00C27906" w:rsidRDefault="00C27906" w:rsidP="005F788E">
      <w:pPr>
        <w:pStyle w:val="Style4"/>
        <w:widowControl/>
        <w:spacing w:before="202" w:line="254" w:lineRule="exact"/>
        <w:ind w:left="426"/>
        <w:jc w:val="both"/>
        <w:rPr>
          <w:rStyle w:val="FontStyle13"/>
          <w:rFonts w:asciiTheme="majorBidi" w:hAnsiTheme="majorBidi" w:cstheme="majorBidi"/>
          <w:sz w:val="24"/>
          <w:szCs w:val="24"/>
        </w:rPr>
      </w:pPr>
      <w:r w:rsidRPr="00C27906">
        <w:rPr>
          <w:rStyle w:val="FontStyle13"/>
          <w:rFonts w:asciiTheme="majorBidi" w:hAnsiTheme="majorBidi" w:cstheme="majorBidi"/>
          <w:sz w:val="24"/>
          <w:szCs w:val="24"/>
        </w:rPr>
        <w:t xml:space="preserve">La plupart des aliments de l'homme sont des substances complexes issues des </w:t>
      </w:r>
      <w:r w:rsidRPr="00C27906">
        <w:rPr>
          <w:rStyle w:val="FontStyle14"/>
          <w:rFonts w:asciiTheme="majorBidi" w:hAnsiTheme="majorBidi" w:cstheme="majorBidi"/>
          <w:sz w:val="24"/>
          <w:szCs w:val="24"/>
        </w:rPr>
        <w:t xml:space="preserve">animaux </w:t>
      </w:r>
      <w:r w:rsidRPr="00C27906">
        <w:rPr>
          <w:rStyle w:val="FontStyle13"/>
          <w:rFonts w:asciiTheme="majorBidi" w:hAnsiTheme="majorBidi" w:cstheme="majorBidi"/>
          <w:sz w:val="24"/>
          <w:szCs w:val="24"/>
        </w:rPr>
        <w:t xml:space="preserve">et des végétaux. Leur composition grossière moyenne est résumée dans les </w:t>
      </w:r>
      <w:r w:rsidRPr="00C27906">
        <w:rPr>
          <w:rStyle w:val="FontStyle14"/>
          <w:rFonts w:asciiTheme="majorBidi" w:hAnsiTheme="majorBidi" w:cstheme="majorBidi"/>
          <w:sz w:val="24"/>
          <w:szCs w:val="24"/>
        </w:rPr>
        <w:t xml:space="preserve">tableaux </w:t>
      </w:r>
      <w:r w:rsidR="00935F0A">
        <w:rPr>
          <w:rStyle w:val="FontStyle13"/>
          <w:rFonts w:asciiTheme="majorBidi" w:hAnsiTheme="majorBidi" w:cstheme="majorBidi"/>
          <w:sz w:val="24"/>
          <w:szCs w:val="24"/>
        </w:rPr>
        <w:t>1.1.A</w:t>
      </w:r>
      <w:r w:rsidRPr="00C27906">
        <w:rPr>
          <w:rStyle w:val="FontStyle13"/>
          <w:rFonts w:asciiTheme="majorBidi" w:hAnsiTheme="majorBidi" w:cstheme="majorBidi"/>
          <w:sz w:val="24"/>
          <w:szCs w:val="24"/>
        </w:rPr>
        <w:t xml:space="preserve"> et</w:t>
      </w:r>
      <w:r w:rsidR="00935F0A">
        <w:rPr>
          <w:rStyle w:val="FontStyle13"/>
          <w:rFonts w:asciiTheme="majorBidi" w:hAnsiTheme="majorBidi" w:cstheme="majorBidi"/>
          <w:sz w:val="24"/>
          <w:szCs w:val="24"/>
        </w:rPr>
        <w:t xml:space="preserve"> 1.1.B</w:t>
      </w:r>
      <w:r w:rsidRPr="00C27906">
        <w:rPr>
          <w:rStyle w:val="FontStyle13"/>
          <w:rFonts w:asciiTheme="majorBidi" w:hAnsiTheme="majorBidi" w:cstheme="majorBidi"/>
          <w:sz w:val="24"/>
          <w:szCs w:val="24"/>
        </w:rPr>
        <w:t>, qui ne tiennent pas compte des vitamines. Ces substances sont souvent dénommées « nutriments ». À cela il faut ajouter deux cas particuliers :</w:t>
      </w:r>
    </w:p>
    <w:p w:rsidR="00C27906" w:rsidRPr="00C27906" w:rsidRDefault="00C27906" w:rsidP="00F91BF2">
      <w:pPr>
        <w:pStyle w:val="Style4"/>
        <w:widowControl/>
        <w:numPr>
          <w:ilvl w:val="0"/>
          <w:numId w:val="3"/>
        </w:numPr>
        <w:spacing w:before="24" w:line="259" w:lineRule="exact"/>
        <w:jc w:val="both"/>
        <w:rPr>
          <w:rStyle w:val="FontStyle13"/>
          <w:rFonts w:asciiTheme="majorBidi" w:hAnsiTheme="majorBidi" w:cstheme="majorBidi"/>
          <w:sz w:val="24"/>
          <w:szCs w:val="24"/>
        </w:rPr>
      </w:pPr>
      <w:r w:rsidRPr="00C27906">
        <w:rPr>
          <w:rStyle w:val="FontStyle13"/>
          <w:rFonts w:asciiTheme="majorBidi" w:hAnsiTheme="majorBidi" w:cstheme="majorBidi"/>
          <w:sz w:val="24"/>
          <w:szCs w:val="24"/>
        </w:rPr>
        <w:t>Substances produites par des micro-organismes, encore peu répandues dans le monde occidental, mais dont l'importance va en croissant.</w:t>
      </w:r>
    </w:p>
    <w:p w:rsidR="00C27906" w:rsidRPr="00C27906" w:rsidRDefault="00C27906" w:rsidP="00F91BF2">
      <w:pPr>
        <w:pStyle w:val="Style4"/>
        <w:widowControl/>
        <w:numPr>
          <w:ilvl w:val="0"/>
          <w:numId w:val="3"/>
        </w:numPr>
        <w:spacing w:before="24" w:line="259" w:lineRule="exact"/>
        <w:jc w:val="both"/>
        <w:rPr>
          <w:rStyle w:val="FontStyle13"/>
          <w:rFonts w:asciiTheme="majorBidi" w:hAnsiTheme="majorBidi" w:cstheme="majorBidi"/>
          <w:sz w:val="24"/>
          <w:szCs w:val="24"/>
        </w:rPr>
      </w:pPr>
      <w:r w:rsidRPr="00C27906">
        <w:rPr>
          <w:rStyle w:val="FontStyle13"/>
          <w:rFonts w:asciiTheme="majorBidi" w:hAnsiTheme="majorBidi" w:cstheme="majorBidi"/>
          <w:sz w:val="24"/>
          <w:szCs w:val="24"/>
        </w:rPr>
        <w:t>Produits purs, à près de 100 %, obtenus par l'industrie agroalimentaire ou chimique. Le « sucre » ordinaire, ou saccharose, en est le représentant très prédominant.</w:t>
      </w:r>
    </w:p>
    <w:p w:rsidR="00C27906" w:rsidRPr="00C27906" w:rsidRDefault="00C27906" w:rsidP="005F788E">
      <w:pPr>
        <w:pStyle w:val="Style4"/>
        <w:widowControl/>
        <w:spacing w:before="24" w:line="259" w:lineRule="exact"/>
        <w:ind w:left="426"/>
        <w:jc w:val="both"/>
        <w:rPr>
          <w:rStyle w:val="FontStyle13"/>
          <w:rFonts w:asciiTheme="majorBidi" w:hAnsiTheme="majorBidi" w:cstheme="majorBidi"/>
          <w:sz w:val="24"/>
          <w:szCs w:val="24"/>
        </w:rPr>
      </w:pPr>
      <w:r w:rsidRPr="00C27906">
        <w:rPr>
          <w:rStyle w:val="FontStyle15"/>
          <w:rFonts w:asciiTheme="majorBidi" w:hAnsiTheme="majorBidi" w:cstheme="majorBidi"/>
          <w:b w:val="0"/>
          <w:bCs w:val="0"/>
          <w:sz w:val="24"/>
          <w:szCs w:val="24"/>
        </w:rPr>
        <w:t xml:space="preserve">La  </w:t>
      </w:r>
      <w:r w:rsidRPr="00C27906">
        <w:rPr>
          <w:rStyle w:val="FontStyle13"/>
          <w:rFonts w:asciiTheme="majorBidi" w:hAnsiTheme="majorBidi" w:cstheme="majorBidi"/>
          <w:sz w:val="24"/>
          <w:szCs w:val="24"/>
        </w:rPr>
        <w:t xml:space="preserve">lecture des tableaux </w:t>
      </w:r>
      <w:proofErr w:type="spellStart"/>
      <w:r w:rsidRPr="00C27906">
        <w:rPr>
          <w:rStyle w:val="FontStyle13"/>
          <w:rFonts w:asciiTheme="majorBidi" w:hAnsiTheme="majorBidi" w:cstheme="majorBidi"/>
          <w:sz w:val="24"/>
          <w:szCs w:val="24"/>
        </w:rPr>
        <w:t>l.l.a</w:t>
      </w:r>
      <w:proofErr w:type="spellEnd"/>
      <w:r w:rsidRPr="00C27906">
        <w:rPr>
          <w:rStyle w:val="FontStyle13"/>
          <w:rFonts w:asciiTheme="majorBidi" w:hAnsiTheme="majorBidi" w:cstheme="majorBidi"/>
          <w:sz w:val="24"/>
          <w:szCs w:val="24"/>
        </w:rPr>
        <w:t xml:space="preserve"> et </w:t>
      </w:r>
      <w:proofErr w:type="spellStart"/>
      <w:r w:rsidRPr="00C27906">
        <w:rPr>
          <w:rStyle w:val="FontStyle13"/>
          <w:rFonts w:asciiTheme="majorBidi" w:hAnsiTheme="majorBidi" w:cstheme="majorBidi"/>
          <w:sz w:val="24"/>
          <w:szCs w:val="24"/>
        </w:rPr>
        <w:t>l.l.b</w:t>
      </w:r>
      <w:proofErr w:type="spellEnd"/>
      <w:r w:rsidRPr="00C27906">
        <w:rPr>
          <w:rStyle w:val="FontStyle13"/>
          <w:rFonts w:asciiTheme="majorBidi" w:hAnsiTheme="majorBidi" w:cstheme="majorBidi"/>
          <w:sz w:val="24"/>
          <w:szCs w:val="24"/>
        </w:rPr>
        <w:t xml:space="preserve"> amène les commentaires suivants :</w:t>
      </w:r>
    </w:p>
    <w:p w:rsidR="00C27906" w:rsidRPr="00C27906" w:rsidRDefault="00C27906" w:rsidP="00F91BF2">
      <w:pPr>
        <w:pStyle w:val="Style4"/>
        <w:widowControl/>
        <w:numPr>
          <w:ilvl w:val="0"/>
          <w:numId w:val="4"/>
        </w:numPr>
        <w:spacing w:before="24" w:line="259" w:lineRule="exact"/>
        <w:jc w:val="both"/>
        <w:rPr>
          <w:rStyle w:val="FontStyle13"/>
          <w:rFonts w:asciiTheme="majorBidi" w:hAnsiTheme="majorBidi" w:cstheme="majorBidi"/>
          <w:sz w:val="24"/>
          <w:szCs w:val="24"/>
        </w:rPr>
      </w:pPr>
      <w:r w:rsidRPr="00C27906">
        <w:rPr>
          <w:rStyle w:val="FontStyle15"/>
          <w:rFonts w:asciiTheme="majorBidi" w:hAnsiTheme="majorBidi" w:cstheme="majorBidi"/>
          <w:b w:val="0"/>
          <w:bCs w:val="0"/>
          <w:sz w:val="24"/>
          <w:szCs w:val="24"/>
        </w:rPr>
        <w:t xml:space="preserve">La </w:t>
      </w:r>
      <w:r w:rsidRPr="00C27906">
        <w:rPr>
          <w:rStyle w:val="FontStyle13"/>
          <w:rFonts w:asciiTheme="majorBidi" w:hAnsiTheme="majorBidi" w:cstheme="majorBidi"/>
          <w:sz w:val="24"/>
          <w:szCs w:val="24"/>
        </w:rPr>
        <w:t xml:space="preserve">teneur en eau des produits frais, graines de céréales exceptées, varie de 55 à 93 %. Elle est plus basse dans les viandes (55 à 75 %) que dans les poissons (60 </w:t>
      </w:r>
      <w:r w:rsidRPr="00C27906">
        <w:rPr>
          <w:rStyle w:val="FontStyle15"/>
          <w:rFonts w:asciiTheme="majorBidi" w:hAnsiTheme="majorBidi" w:cstheme="majorBidi"/>
          <w:b w:val="0"/>
          <w:bCs w:val="0"/>
          <w:sz w:val="24"/>
          <w:szCs w:val="24"/>
        </w:rPr>
        <w:t xml:space="preserve">à </w:t>
      </w:r>
      <w:r w:rsidRPr="00C27906">
        <w:rPr>
          <w:rStyle w:val="FontStyle13"/>
          <w:rFonts w:asciiTheme="majorBidi" w:hAnsiTheme="majorBidi" w:cstheme="majorBidi"/>
          <w:sz w:val="24"/>
          <w:szCs w:val="24"/>
        </w:rPr>
        <w:t>80 %) et surtout dans la plupart des produits végétaux (74 à 94 %).</w:t>
      </w:r>
    </w:p>
    <w:p w:rsidR="00C27906" w:rsidRPr="00F91BF2" w:rsidRDefault="00C27906" w:rsidP="00F91BF2">
      <w:pPr>
        <w:pStyle w:val="Style4"/>
        <w:widowControl/>
        <w:numPr>
          <w:ilvl w:val="0"/>
          <w:numId w:val="4"/>
        </w:numPr>
        <w:spacing w:before="24" w:line="259" w:lineRule="exact"/>
        <w:jc w:val="both"/>
        <w:rPr>
          <w:rStyle w:val="FontStyle13"/>
          <w:rFonts w:asciiTheme="majorBidi" w:hAnsiTheme="majorBidi" w:cstheme="majorBidi"/>
          <w:sz w:val="24"/>
          <w:szCs w:val="24"/>
        </w:rPr>
      </w:pPr>
      <w:r w:rsidRPr="00C27906">
        <w:rPr>
          <w:rStyle w:val="FontStyle13"/>
          <w:rFonts w:asciiTheme="majorBidi" w:hAnsiTheme="majorBidi" w:cstheme="majorBidi"/>
          <w:sz w:val="24"/>
          <w:szCs w:val="24"/>
        </w:rPr>
        <w:t>Les substances des colonnes B à F sont complexes et plus inégalement réparties :</w:t>
      </w:r>
    </w:p>
    <w:p w:rsidR="00C27906" w:rsidRPr="00F91BF2" w:rsidRDefault="00F91BF2" w:rsidP="00F91BF2">
      <w:pPr>
        <w:pStyle w:val="Style5"/>
        <w:widowControl/>
        <w:tabs>
          <w:tab w:val="left" w:pos="235"/>
        </w:tabs>
        <w:spacing w:before="24"/>
        <w:ind w:left="720" w:firstLine="0"/>
        <w:jc w:val="both"/>
        <w:rPr>
          <w:rStyle w:val="FontStyle13"/>
          <w:rFonts w:asciiTheme="majorBidi" w:hAnsiTheme="majorBidi" w:cstheme="majorBidi"/>
          <w:sz w:val="24"/>
          <w:szCs w:val="24"/>
        </w:rPr>
      </w:pPr>
      <w:r>
        <w:rPr>
          <w:rStyle w:val="FontStyle13"/>
          <w:rFonts w:asciiTheme="majorBidi" w:hAnsiTheme="majorBidi" w:cstheme="majorBidi"/>
          <w:sz w:val="24"/>
          <w:szCs w:val="24"/>
        </w:rPr>
        <w:t xml:space="preserve">- </w:t>
      </w:r>
      <w:r w:rsidR="00C27906" w:rsidRPr="00C27906">
        <w:rPr>
          <w:rStyle w:val="FontStyle13"/>
          <w:rFonts w:asciiTheme="majorBidi" w:hAnsiTheme="majorBidi" w:cstheme="majorBidi"/>
          <w:sz w:val="24"/>
          <w:szCs w:val="24"/>
        </w:rPr>
        <w:t>les protides sont assez abondants et parfois dominants dans les produits animaux, alors que les glucides y sont peu abondants ;</w:t>
      </w:r>
    </w:p>
    <w:p w:rsidR="005F788E" w:rsidRDefault="005F788E" w:rsidP="005F788E">
      <w:pPr>
        <w:pStyle w:val="Style5"/>
        <w:widowControl/>
        <w:tabs>
          <w:tab w:val="left" w:pos="235"/>
        </w:tabs>
        <w:spacing w:before="29"/>
        <w:ind w:left="426" w:firstLine="0"/>
        <w:jc w:val="both"/>
        <w:rPr>
          <w:rStyle w:val="FontStyle13"/>
          <w:rFonts w:asciiTheme="majorBidi" w:hAnsiTheme="majorBidi" w:cstheme="majorBidi"/>
          <w:sz w:val="24"/>
          <w:szCs w:val="24"/>
        </w:rPr>
      </w:pPr>
      <w:r>
        <w:rPr>
          <w:rStyle w:val="FontStyle13"/>
          <w:rFonts w:asciiTheme="majorBidi" w:hAnsiTheme="majorBidi" w:cstheme="majorBidi"/>
          <w:sz w:val="24"/>
          <w:szCs w:val="24"/>
        </w:rPr>
        <w:tab/>
      </w:r>
      <w:r w:rsidR="00F91BF2">
        <w:rPr>
          <w:rStyle w:val="FontStyle13"/>
          <w:rFonts w:asciiTheme="majorBidi" w:hAnsiTheme="majorBidi" w:cstheme="majorBidi"/>
          <w:sz w:val="24"/>
          <w:szCs w:val="24"/>
        </w:rPr>
        <w:t xml:space="preserve">- </w:t>
      </w:r>
      <w:r w:rsidR="00C27906" w:rsidRPr="00C27906">
        <w:rPr>
          <w:rStyle w:val="FontStyle13"/>
          <w:rFonts w:asciiTheme="majorBidi" w:hAnsiTheme="majorBidi" w:cstheme="majorBidi"/>
          <w:sz w:val="24"/>
          <w:szCs w:val="24"/>
        </w:rPr>
        <w:t>les glucides prédominent dans les produits végétaux, sauf dans les « protéagineux », comme le soja, ou les oléagineux;</w:t>
      </w:r>
    </w:p>
    <w:p w:rsidR="00C27906" w:rsidRPr="005F788E" w:rsidRDefault="005F788E" w:rsidP="005F788E">
      <w:pPr>
        <w:pStyle w:val="Style5"/>
        <w:widowControl/>
        <w:tabs>
          <w:tab w:val="left" w:pos="235"/>
        </w:tabs>
        <w:spacing w:before="29"/>
        <w:ind w:left="426" w:hanging="426"/>
        <w:jc w:val="both"/>
        <w:rPr>
          <w:rFonts w:asciiTheme="majorBidi" w:hAnsiTheme="majorBidi" w:cstheme="majorBidi"/>
        </w:rPr>
      </w:pPr>
      <w:r>
        <w:rPr>
          <w:rStyle w:val="FontStyle13"/>
          <w:rFonts w:asciiTheme="majorBidi" w:hAnsiTheme="majorBidi" w:cstheme="majorBidi"/>
          <w:sz w:val="24"/>
          <w:szCs w:val="24"/>
        </w:rPr>
        <w:tab/>
      </w:r>
      <w:r>
        <w:rPr>
          <w:rStyle w:val="FontStyle13"/>
          <w:rFonts w:asciiTheme="majorBidi" w:hAnsiTheme="majorBidi" w:cstheme="majorBidi"/>
          <w:sz w:val="24"/>
          <w:szCs w:val="24"/>
        </w:rPr>
        <w:tab/>
      </w:r>
      <w:r>
        <w:rPr>
          <w:rStyle w:val="FontStyle13"/>
          <w:rFonts w:asciiTheme="majorBidi" w:hAnsiTheme="majorBidi" w:cstheme="majorBidi"/>
          <w:sz w:val="24"/>
          <w:szCs w:val="24"/>
        </w:rPr>
        <w:tab/>
        <w:t xml:space="preserve">- </w:t>
      </w:r>
      <w:r w:rsidR="00C27906">
        <w:rPr>
          <w:rFonts w:ascii="Times New Roman" w:eastAsiaTheme="minorHAnsi" w:hAnsi="Times New Roman" w:cs="Times New Roman"/>
          <w:b/>
          <w:bCs/>
          <w:sz w:val="15"/>
          <w:szCs w:val="15"/>
          <w:lang w:eastAsia="en-US"/>
        </w:rPr>
        <w:t xml:space="preserve"> </w:t>
      </w:r>
      <w:r w:rsidR="00C27906" w:rsidRPr="00C27906">
        <w:rPr>
          <w:rFonts w:asciiTheme="majorBidi" w:eastAsiaTheme="minorHAnsi" w:hAnsiTheme="majorBidi" w:cstheme="majorBidi"/>
          <w:lang w:eastAsia="en-US"/>
        </w:rPr>
        <w:t xml:space="preserve">les lipides sont au niveau des protides dans les viandes, les </w:t>
      </w:r>
      <w:r w:rsidR="00F91BF2" w:rsidRPr="00C27906">
        <w:rPr>
          <w:rFonts w:asciiTheme="majorBidi" w:eastAsiaTheme="minorHAnsi" w:hAnsiTheme="majorBidi" w:cstheme="majorBidi"/>
          <w:lang w:eastAsia="en-US"/>
        </w:rPr>
        <w:t>œufs</w:t>
      </w:r>
      <w:r w:rsidR="00C27906" w:rsidRPr="00C27906">
        <w:rPr>
          <w:rFonts w:asciiTheme="majorBidi" w:eastAsiaTheme="minorHAnsi" w:hAnsiTheme="majorBidi" w:cstheme="majorBidi"/>
          <w:lang w:eastAsia="en-US"/>
        </w:rPr>
        <w:t xml:space="preserve"> et le lait. Ils</w:t>
      </w:r>
      <w:r w:rsidR="00C27906">
        <w:rPr>
          <w:rFonts w:asciiTheme="majorBidi" w:eastAsiaTheme="minorHAnsi" w:hAnsiTheme="majorBidi" w:cstheme="majorBidi"/>
          <w:lang w:eastAsia="en-US"/>
        </w:rPr>
        <w:t xml:space="preserve"> </w:t>
      </w:r>
      <w:r w:rsidR="00C27906" w:rsidRPr="00C27906">
        <w:rPr>
          <w:rFonts w:asciiTheme="majorBidi" w:eastAsiaTheme="minorHAnsi" w:hAnsiTheme="majorBidi" w:cstheme="majorBidi"/>
          <w:lang w:eastAsia="en-US"/>
        </w:rPr>
        <w:t>sont en faible quantité dans les végétaux (sauf les oléagineux);</w:t>
      </w:r>
    </w:p>
    <w:p w:rsidR="00F91BF2" w:rsidRDefault="00C27906" w:rsidP="005F788E">
      <w:pPr>
        <w:widowControl/>
        <w:ind w:left="708"/>
        <w:rPr>
          <w:rFonts w:asciiTheme="majorBidi" w:eastAsiaTheme="minorHAnsi" w:hAnsiTheme="majorBidi" w:cstheme="majorBidi"/>
          <w:lang w:eastAsia="en-US"/>
        </w:rPr>
      </w:pPr>
      <w:r>
        <w:rPr>
          <w:rFonts w:asciiTheme="majorBidi" w:eastAsiaTheme="minorHAnsi" w:hAnsiTheme="majorBidi" w:cstheme="majorBidi"/>
          <w:lang w:eastAsia="en-US"/>
        </w:rPr>
        <w:t>-</w:t>
      </w:r>
      <w:r w:rsidRPr="00C27906">
        <w:rPr>
          <w:rFonts w:asciiTheme="majorBidi" w:eastAsiaTheme="minorHAnsi" w:hAnsiTheme="majorBidi" w:cstheme="majorBidi"/>
          <w:lang w:eastAsia="en-US"/>
        </w:rPr>
        <w:t>les minéraux sont peu abondants dans la plupart des aliments</w:t>
      </w:r>
      <w:r w:rsidR="00F91BF2">
        <w:rPr>
          <w:rFonts w:asciiTheme="majorBidi" w:eastAsiaTheme="minorHAnsi" w:hAnsiTheme="majorBidi" w:cstheme="majorBidi"/>
          <w:lang w:eastAsia="en-US"/>
        </w:rPr>
        <w:t>.</w:t>
      </w:r>
    </w:p>
    <w:p w:rsidR="00C27906" w:rsidRPr="005F788E" w:rsidRDefault="00F91BF2" w:rsidP="005F788E">
      <w:pPr>
        <w:pStyle w:val="Paragraphedeliste"/>
        <w:widowControl/>
        <w:numPr>
          <w:ilvl w:val="0"/>
          <w:numId w:val="5"/>
        </w:numPr>
        <w:rPr>
          <w:rFonts w:asciiTheme="majorBidi" w:eastAsiaTheme="minorHAnsi" w:hAnsiTheme="majorBidi" w:cstheme="majorBidi"/>
          <w:lang w:eastAsia="en-US"/>
        </w:rPr>
      </w:pPr>
      <w:r w:rsidRPr="005F788E">
        <w:rPr>
          <w:rFonts w:asciiTheme="majorBidi" w:eastAsiaTheme="minorHAnsi" w:hAnsiTheme="majorBidi" w:cstheme="majorBidi"/>
          <w:lang w:eastAsia="en-US"/>
        </w:rPr>
        <w:t>Le</w:t>
      </w:r>
      <w:r w:rsidR="00C27906" w:rsidRPr="005F788E">
        <w:rPr>
          <w:rFonts w:asciiTheme="majorBidi" w:eastAsiaTheme="minorHAnsi" w:hAnsiTheme="majorBidi" w:cstheme="majorBidi"/>
          <w:lang w:eastAsia="en-US"/>
        </w:rPr>
        <w:t xml:space="preserve"> pouvoir calorifique, ou valeur énergétique, varie d'une manière considérable</w:t>
      </w:r>
      <w:r w:rsidRPr="005F788E">
        <w:rPr>
          <w:rFonts w:asciiTheme="majorBidi" w:eastAsiaTheme="minorHAnsi" w:hAnsiTheme="majorBidi" w:cstheme="majorBidi"/>
          <w:lang w:eastAsia="en-US"/>
        </w:rPr>
        <w:t>.</w:t>
      </w:r>
    </w:p>
    <w:p w:rsidR="00C27906" w:rsidRDefault="00C27906" w:rsidP="005F788E">
      <w:pPr>
        <w:widowControl/>
        <w:ind w:left="426"/>
        <w:rPr>
          <w:rFonts w:asciiTheme="majorBidi" w:eastAsiaTheme="minorHAnsi" w:hAnsiTheme="majorBidi" w:cstheme="majorBidi"/>
          <w:lang w:eastAsia="en-US"/>
        </w:rPr>
      </w:pPr>
      <w:r w:rsidRPr="00C27906">
        <w:rPr>
          <w:rFonts w:asciiTheme="majorBidi" w:eastAsiaTheme="minorHAnsi" w:hAnsiTheme="majorBidi" w:cstheme="majorBidi"/>
          <w:lang w:eastAsia="en-US"/>
        </w:rPr>
        <w:t xml:space="preserve">Il est, en gros. Inversement </w:t>
      </w:r>
      <w:r>
        <w:rPr>
          <w:rFonts w:asciiTheme="majorBidi" w:eastAsiaTheme="minorHAnsi" w:hAnsiTheme="majorBidi" w:cstheme="majorBidi"/>
          <w:lang w:eastAsia="en-US"/>
        </w:rPr>
        <w:t>proportionnel à</w:t>
      </w:r>
      <w:r w:rsidRPr="00C27906">
        <w:rPr>
          <w:rFonts w:asciiTheme="majorBidi" w:eastAsiaTheme="minorHAnsi" w:hAnsiTheme="majorBidi" w:cstheme="majorBidi"/>
          <w:lang w:eastAsia="en-US"/>
        </w:rPr>
        <w:t xml:space="preserve"> la</w:t>
      </w:r>
      <w:r>
        <w:rPr>
          <w:rFonts w:asciiTheme="majorBidi" w:eastAsiaTheme="minorHAnsi" w:hAnsiTheme="majorBidi" w:cstheme="majorBidi"/>
          <w:lang w:eastAsia="en-US"/>
        </w:rPr>
        <w:t xml:space="preserve"> teneur</w:t>
      </w:r>
      <w:r w:rsidRPr="00C27906">
        <w:rPr>
          <w:rFonts w:asciiTheme="majorBidi" w:eastAsiaTheme="minorHAnsi" w:hAnsiTheme="majorBidi" w:cstheme="majorBidi"/>
          <w:lang w:eastAsia="en-US"/>
        </w:rPr>
        <w:t xml:space="preserve"> en </w:t>
      </w:r>
      <w:r>
        <w:rPr>
          <w:rFonts w:asciiTheme="majorBidi" w:eastAsiaTheme="minorHAnsi" w:hAnsiTheme="majorBidi" w:cstheme="majorBidi"/>
          <w:lang w:eastAsia="en-US"/>
        </w:rPr>
        <w:t xml:space="preserve">eau </w:t>
      </w:r>
      <w:r w:rsidRPr="00C27906">
        <w:rPr>
          <w:rFonts w:asciiTheme="majorBidi" w:eastAsiaTheme="minorHAnsi" w:hAnsiTheme="majorBidi" w:cstheme="majorBidi"/>
          <w:lang w:eastAsia="en-US"/>
        </w:rPr>
        <w:t xml:space="preserve"> </w:t>
      </w:r>
      <w:r>
        <w:rPr>
          <w:rFonts w:asciiTheme="majorBidi" w:eastAsiaTheme="minorHAnsi" w:hAnsiTheme="majorBidi" w:cstheme="majorBidi"/>
          <w:lang w:eastAsia="en-US"/>
        </w:rPr>
        <w:t xml:space="preserve">et  </w:t>
      </w:r>
      <w:r w:rsidRPr="00C27906">
        <w:rPr>
          <w:rFonts w:asciiTheme="majorBidi" w:eastAsiaTheme="minorHAnsi" w:hAnsiTheme="majorBidi" w:cstheme="majorBidi"/>
          <w:lang w:eastAsia="en-US"/>
        </w:rPr>
        <w:t xml:space="preserve">proportionnel </w:t>
      </w:r>
      <w:r>
        <w:rPr>
          <w:rFonts w:asciiTheme="majorBidi" w:eastAsiaTheme="minorHAnsi" w:hAnsiTheme="majorBidi" w:cstheme="majorBidi"/>
          <w:lang w:eastAsia="en-US"/>
        </w:rPr>
        <w:t>à</w:t>
      </w:r>
      <w:r w:rsidRPr="00C27906">
        <w:rPr>
          <w:rFonts w:asciiTheme="majorBidi" w:eastAsiaTheme="minorHAnsi" w:hAnsiTheme="majorBidi" w:cstheme="majorBidi"/>
          <w:lang w:eastAsia="en-US"/>
        </w:rPr>
        <w:t xml:space="preserve"> la </w:t>
      </w:r>
      <w:r>
        <w:rPr>
          <w:rFonts w:asciiTheme="majorBidi" w:eastAsiaTheme="minorHAnsi" w:hAnsiTheme="majorBidi" w:cstheme="majorBidi"/>
          <w:lang w:eastAsia="en-US"/>
        </w:rPr>
        <w:t xml:space="preserve">teneur </w:t>
      </w:r>
      <w:r w:rsidRPr="00C27906">
        <w:rPr>
          <w:rFonts w:asciiTheme="majorBidi" w:eastAsiaTheme="minorHAnsi" w:hAnsiTheme="majorBidi" w:cstheme="majorBidi"/>
          <w:lang w:eastAsia="en-US"/>
        </w:rPr>
        <w:t xml:space="preserve"> en lipides des aliments. L a valeur minimale se trouve autour de 20 calories</w:t>
      </w:r>
      <w:r>
        <w:rPr>
          <w:rFonts w:asciiTheme="majorBidi" w:eastAsiaTheme="minorHAnsi" w:hAnsiTheme="majorBidi" w:cstheme="majorBidi"/>
          <w:lang w:eastAsia="en-US"/>
        </w:rPr>
        <w:t xml:space="preserve"> pour les légumes très</w:t>
      </w:r>
      <w:r w:rsidRPr="00C27906">
        <w:rPr>
          <w:rFonts w:asciiTheme="majorBidi" w:eastAsiaTheme="minorHAnsi" w:hAnsiTheme="majorBidi" w:cstheme="majorBidi"/>
          <w:lang w:eastAsia="en-US"/>
        </w:rPr>
        <w:t xml:space="preserve"> hydratés ; le maximum s'élève vers 900 pour des corps gras.</w:t>
      </w:r>
    </w:p>
    <w:p w:rsidR="00C27906" w:rsidRPr="00F71ADF" w:rsidRDefault="00F71ADF" w:rsidP="00F71ADF">
      <w:pPr>
        <w:pStyle w:val="Paragraphedeliste"/>
        <w:widowControl/>
        <w:numPr>
          <w:ilvl w:val="0"/>
          <w:numId w:val="5"/>
        </w:numPr>
        <w:rPr>
          <w:rFonts w:asciiTheme="majorBidi" w:eastAsiaTheme="minorHAnsi" w:hAnsiTheme="majorBidi" w:cstheme="majorBidi"/>
          <w:lang w:eastAsia="en-US"/>
        </w:rPr>
      </w:pPr>
      <w:r>
        <w:rPr>
          <w:rStyle w:val="FontStyle13"/>
          <w:rFonts w:asciiTheme="majorBidi" w:eastAsiaTheme="minorHAnsi" w:hAnsiTheme="majorBidi" w:cstheme="majorBidi"/>
          <w:sz w:val="24"/>
          <w:szCs w:val="24"/>
          <w:lang w:eastAsia="en-US"/>
        </w:rPr>
        <w:t>Les fibres forment une large catégorie de substances peu solubles ou insolubles dans l’eau : les sons de céréales sont la source traditionnelles des fibres ; mais d’autres sources de nature végétale sont étudiées (fibres de pomme, de betterave, de chicorée, de pois, de tomates, de graine de cacao…).</w:t>
      </w:r>
    </w:p>
    <w:p w:rsidR="00C27906" w:rsidRDefault="00C27906" w:rsidP="005F788E">
      <w:pPr>
        <w:ind w:left="426"/>
        <w:jc w:val="both"/>
        <w:rPr>
          <w:rFonts w:asciiTheme="majorBidi" w:hAnsiTheme="majorBidi" w:cstheme="majorBidi"/>
        </w:rPr>
      </w:pPr>
      <w:r w:rsidRPr="00C27906">
        <w:rPr>
          <w:rFonts w:asciiTheme="majorBidi" w:hAnsiTheme="majorBidi" w:cstheme="majorBidi"/>
        </w:rPr>
        <w:t xml:space="preserve">Les substances constituant les fibres sont essentiellement de longs polymères de glucides à l'état de </w:t>
      </w:r>
      <w:proofErr w:type="spellStart"/>
      <w:r w:rsidRPr="00C27906">
        <w:rPr>
          <w:rFonts w:asciiTheme="majorBidi" w:hAnsiTheme="majorBidi" w:cstheme="majorBidi"/>
        </w:rPr>
        <w:t>microfibrilles</w:t>
      </w:r>
      <w:proofErr w:type="spellEnd"/>
      <w:r w:rsidRPr="00C27906">
        <w:rPr>
          <w:rFonts w:asciiTheme="majorBidi" w:hAnsiTheme="majorBidi" w:cstheme="majorBidi"/>
        </w:rPr>
        <w:t>. Elles sont localisées principalement dans les parties externes des graines, chez les graminées.</w:t>
      </w: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r w:rsidRPr="00914681">
        <w:rPr>
          <w:rFonts w:asciiTheme="majorBidi" w:hAnsiTheme="majorBidi" w:cstheme="majorBidi"/>
          <w:noProof/>
        </w:rPr>
        <w:drawing>
          <wp:inline distT="0" distB="0" distL="0" distR="0">
            <wp:extent cx="5438775" cy="6991350"/>
            <wp:effectExtent l="19050" t="0" r="9525" b="0"/>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438775" cy="6991350"/>
                    </a:xfrm>
                    <a:prstGeom prst="rect">
                      <a:avLst/>
                    </a:prstGeom>
                    <a:noFill/>
                    <a:ln w="9525">
                      <a:noFill/>
                      <a:miter lim="800000"/>
                      <a:headEnd/>
                      <a:tailEnd/>
                    </a:ln>
                  </pic:spPr>
                </pic:pic>
              </a:graphicData>
            </a:graphic>
          </wp:inline>
        </w:drawing>
      </w: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r w:rsidRPr="00914681">
        <w:rPr>
          <w:rFonts w:asciiTheme="majorBidi" w:hAnsiTheme="majorBidi" w:cstheme="majorBidi"/>
          <w:noProof/>
        </w:rPr>
        <w:drawing>
          <wp:inline distT="0" distB="0" distL="0" distR="0">
            <wp:extent cx="5476875" cy="6953250"/>
            <wp:effectExtent l="19050" t="0" r="9525" b="0"/>
            <wp:docPr id="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5476875" cy="6953250"/>
                    </a:xfrm>
                    <a:prstGeom prst="rect">
                      <a:avLst/>
                    </a:prstGeom>
                    <a:noFill/>
                    <a:ln w="9525">
                      <a:noFill/>
                      <a:miter lim="800000"/>
                      <a:headEnd/>
                      <a:tailEnd/>
                    </a:ln>
                  </pic:spPr>
                </pic:pic>
              </a:graphicData>
            </a:graphic>
          </wp:inline>
        </w:drawing>
      </w: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Default="00914681" w:rsidP="005F788E">
      <w:pPr>
        <w:ind w:left="426"/>
        <w:jc w:val="both"/>
        <w:rPr>
          <w:rFonts w:asciiTheme="majorBidi" w:hAnsiTheme="majorBidi" w:cstheme="majorBidi"/>
        </w:rPr>
      </w:pPr>
    </w:p>
    <w:p w:rsidR="00914681" w:rsidRPr="00C27906" w:rsidRDefault="00914681" w:rsidP="005F788E">
      <w:pPr>
        <w:ind w:left="426"/>
        <w:jc w:val="both"/>
        <w:rPr>
          <w:rFonts w:asciiTheme="majorBidi" w:hAnsiTheme="majorBidi" w:cstheme="majorBidi"/>
        </w:rPr>
      </w:pPr>
    </w:p>
    <w:p w:rsidR="00C27906" w:rsidRDefault="00C27906" w:rsidP="00C27906">
      <w:pPr>
        <w:jc w:val="both"/>
        <w:rPr>
          <w:rFonts w:asciiTheme="majorBidi" w:hAnsiTheme="majorBidi" w:cstheme="majorBidi"/>
        </w:rPr>
      </w:pPr>
    </w:p>
    <w:p w:rsidR="00914681" w:rsidRDefault="00914681" w:rsidP="00C27906">
      <w:pPr>
        <w:jc w:val="both"/>
        <w:rPr>
          <w:rFonts w:asciiTheme="majorBidi" w:hAnsiTheme="majorBidi" w:cstheme="majorBidi"/>
        </w:rPr>
      </w:pPr>
    </w:p>
    <w:p w:rsidR="00914681" w:rsidRPr="00C27906" w:rsidRDefault="00914681" w:rsidP="00C27906">
      <w:pPr>
        <w:jc w:val="both"/>
        <w:rPr>
          <w:rFonts w:asciiTheme="majorBidi" w:hAnsiTheme="majorBidi" w:cstheme="majorBidi"/>
        </w:rPr>
      </w:pPr>
    </w:p>
    <w:p w:rsidR="00C27906" w:rsidRPr="00F71ADF" w:rsidRDefault="00C27906" w:rsidP="005F788E">
      <w:pPr>
        <w:ind w:left="426"/>
        <w:jc w:val="both"/>
        <w:rPr>
          <w:rFonts w:asciiTheme="majorBidi" w:hAnsiTheme="majorBidi" w:cstheme="majorBidi"/>
          <w:b/>
          <w:bCs/>
        </w:rPr>
      </w:pPr>
      <w:r w:rsidRPr="00F71ADF">
        <w:rPr>
          <w:rFonts w:asciiTheme="majorBidi" w:hAnsiTheme="majorBidi" w:cstheme="majorBidi"/>
          <w:b/>
          <w:bCs/>
        </w:rPr>
        <w:t>1.2   APPORTS NUTRITIONNELS</w:t>
      </w:r>
    </w:p>
    <w:p w:rsidR="00C27906" w:rsidRPr="00F71ADF" w:rsidRDefault="00C27906" w:rsidP="00C27906">
      <w:pPr>
        <w:jc w:val="both"/>
        <w:rPr>
          <w:rFonts w:asciiTheme="majorBidi" w:hAnsiTheme="majorBidi" w:cstheme="majorBidi"/>
          <w:b/>
          <w:bCs/>
        </w:rPr>
      </w:pPr>
    </w:p>
    <w:p w:rsidR="00C27906" w:rsidRDefault="00C27906" w:rsidP="005F788E">
      <w:pPr>
        <w:ind w:left="426"/>
        <w:jc w:val="both"/>
        <w:rPr>
          <w:rFonts w:asciiTheme="majorBidi" w:hAnsiTheme="majorBidi" w:cstheme="majorBidi"/>
        </w:rPr>
      </w:pPr>
      <w:r w:rsidRPr="00C27906">
        <w:rPr>
          <w:rFonts w:asciiTheme="majorBidi" w:hAnsiTheme="majorBidi" w:cstheme="majorBidi"/>
        </w:rPr>
        <w:t>L'alimentation quotidienne de chaque individu doit lui apporter une quantité suffisante des différents macronutriments (protéines, lipides, glucides) et micronutriments (vitamines, minéraux et oligo-éléments) pour assurer la couverture de l'ensemble de ses besoins physiologiques. Ces besoins individuels sont influencés par de nombreux facteurs, notamment le sexe, l'âge, l'état physiologique (croissance, grossesse, allaitement), l'activité physique et aussi par des caractéristiques spécifiques à chaque individu dont certaines sont encore mal connues.</w:t>
      </w:r>
    </w:p>
    <w:p w:rsidR="00C27906" w:rsidRDefault="00C27906" w:rsidP="00C27906">
      <w:pPr>
        <w:jc w:val="both"/>
        <w:rPr>
          <w:rFonts w:asciiTheme="majorBidi" w:hAnsiTheme="majorBidi" w:cstheme="majorBidi"/>
        </w:rPr>
      </w:pPr>
    </w:p>
    <w:p w:rsidR="00C27906" w:rsidRDefault="00C27906" w:rsidP="005F788E">
      <w:pPr>
        <w:jc w:val="center"/>
        <w:rPr>
          <w:rFonts w:asciiTheme="majorBidi" w:hAnsiTheme="majorBidi" w:cstheme="majorBidi"/>
        </w:rPr>
      </w:pPr>
      <w:r>
        <w:rPr>
          <w:rFonts w:asciiTheme="majorBidi" w:hAnsiTheme="majorBidi" w:cstheme="majorBidi"/>
          <w:noProof/>
        </w:rPr>
        <w:drawing>
          <wp:inline distT="0" distB="0" distL="0" distR="0">
            <wp:extent cx="5760720" cy="1895841"/>
            <wp:effectExtent l="1905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5760720" cy="1895841"/>
                    </a:xfrm>
                    <a:prstGeom prst="rect">
                      <a:avLst/>
                    </a:prstGeom>
                    <a:noFill/>
                    <a:ln w="9525">
                      <a:noFill/>
                      <a:miter lim="800000"/>
                      <a:headEnd/>
                      <a:tailEnd/>
                    </a:ln>
                  </pic:spPr>
                </pic:pic>
              </a:graphicData>
            </a:graphic>
          </wp:inline>
        </w:drawing>
      </w:r>
    </w:p>
    <w:p w:rsidR="00C27906" w:rsidRDefault="00C27906" w:rsidP="00C27906">
      <w:pPr>
        <w:jc w:val="both"/>
        <w:rPr>
          <w:rFonts w:asciiTheme="majorBidi" w:hAnsiTheme="majorBidi" w:cstheme="majorBidi"/>
        </w:rPr>
      </w:pPr>
    </w:p>
    <w:p w:rsidR="00C27906" w:rsidRPr="00C27906" w:rsidRDefault="00C27906" w:rsidP="00C27906">
      <w:pPr>
        <w:jc w:val="both"/>
        <w:rPr>
          <w:rFonts w:asciiTheme="majorBidi" w:hAnsiTheme="majorBidi" w:cstheme="majorBidi"/>
        </w:rPr>
      </w:pPr>
    </w:p>
    <w:p w:rsidR="00C27906" w:rsidRPr="00C27906" w:rsidRDefault="00C27906" w:rsidP="005F788E">
      <w:pPr>
        <w:ind w:left="567"/>
        <w:jc w:val="both"/>
        <w:rPr>
          <w:rFonts w:asciiTheme="majorBidi" w:hAnsiTheme="majorBidi" w:cstheme="majorBidi"/>
        </w:rPr>
      </w:pPr>
      <w:r w:rsidRPr="00C27906">
        <w:rPr>
          <w:rFonts w:asciiTheme="majorBidi" w:hAnsiTheme="majorBidi" w:cstheme="majorBidi"/>
        </w:rPr>
        <w:t>Des valeurs d'apports alimentaires permettant de couvrir les besoins de groupes d'individus, valeurs établies par combinaison de résultats d'études sur des individus avec ceux d'études sur des populations, sont proposés dans chaque pays.</w:t>
      </w:r>
    </w:p>
    <w:p w:rsidR="00C27906" w:rsidRDefault="00C27906" w:rsidP="005F788E">
      <w:pPr>
        <w:ind w:left="567"/>
        <w:jc w:val="both"/>
        <w:rPr>
          <w:rFonts w:asciiTheme="majorBidi" w:hAnsiTheme="majorBidi" w:cstheme="majorBidi"/>
        </w:rPr>
      </w:pPr>
      <w:r w:rsidRPr="00C27906">
        <w:rPr>
          <w:rFonts w:asciiTheme="majorBidi" w:hAnsiTheme="majorBidi" w:cstheme="majorBidi"/>
        </w:rPr>
        <w:t>En France, l'Agence française de sécurité sanitaire des aliments (AFSSA) a proposé des valeurs correspondant aux Apports nutritionnels conseillés pour la population (ANC) définis pour chaque nutriment comme étant l'apport permettant de couvrir les besoins physiologiques de la quasi-totalité (97,5 % des sujets) de la population ; ces ANC correspondent en général à 130 % du besoin moyen.</w:t>
      </w:r>
    </w:p>
    <w:p w:rsidR="005E7A72" w:rsidRDefault="005E7A72" w:rsidP="00C27906">
      <w:pPr>
        <w:jc w:val="both"/>
        <w:rPr>
          <w:rFonts w:asciiTheme="majorBidi" w:hAnsiTheme="majorBidi" w:cstheme="majorBidi"/>
        </w:rPr>
      </w:pPr>
    </w:p>
    <w:p w:rsidR="005E7A72" w:rsidRDefault="005E7A72" w:rsidP="005F788E">
      <w:pPr>
        <w:jc w:val="center"/>
        <w:rPr>
          <w:rFonts w:asciiTheme="majorBidi" w:hAnsiTheme="majorBidi" w:cstheme="majorBidi"/>
        </w:rPr>
      </w:pPr>
      <w:r>
        <w:rPr>
          <w:rFonts w:asciiTheme="majorBidi" w:hAnsiTheme="majorBidi" w:cstheme="majorBidi"/>
          <w:noProof/>
        </w:rPr>
        <w:lastRenderedPageBreak/>
        <w:drawing>
          <wp:inline distT="0" distB="0" distL="0" distR="0">
            <wp:extent cx="5760720" cy="3876172"/>
            <wp:effectExtent l="19050" t="0" r="0" b="0"/>
            <wp:docPr id="10"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srcRect/>
                    <a:stretch>
                      <a:fillRect/>
                    </a:stretch>
                  </pic:blipFill>
                  <pic:spPr bwMode="auto">
                    <a:xfrm>
                      <a:off x="0" y="0"/>
                      <a:ext cx="5760720" cy="3876172"/>
                    </a:xfrm>
                    <a:prstGeom prst="rect">
                      <a:avLst/>
                    </a:prstGeom>
                    <a:noFill/>
                    <a:ln w="9525">
                      <a:noFill/>
                      <a:miter lim="800000"/>
                      <a:headEnd/>
                      <a:tailEnd/>
                    </a:ln>
                  </pic:spPr>
                </pic:pic>
              </a:graphicData>
            </a:graphic>
          </wp:inline>
        </w:drawing>
      </w:r>
    </w:p>
    <w:p w:rsidR="005E7A72" w:rsidRDefault="005E7A72" w:rsidP="00C27906">
      <w:pPr>
        <w:jc w:val="both"/>
        <w:rPr>
          <w:rFonts w:asciiTheme="majorBidi" w:hAnsiTheme="majorBidi" w:cstheme="majorBidi"/>
        </w:rPr>
      </w:pPr>
    </w:p>
    <w:p w:rsidR="005E7A72" w:rsidRPr="00C27906" w:rsidRDefault="005E7A72" w:rsidP="00C27906">
      <w:pPr>
        <w:jc w:val="both"/>
        <w:rPr>
          <w:rFonts w:asciiTheme="majorBidi" w:hAnsiTheme="majorBidi" w:cstheme="majorBidi"/>
        </w:rPr>
      </w:pPr>
    </w:p>
    <w:p w:rsidR="00C27906" w:rsidRPr="00C27906" w:rsidRDefault="00C27906" w:rsidP="005F788E">
      <w:pPr>
        <w:ind w:left="567"/>
        <w:jc w:val="both"/>
        <w:rPr>
          <w:rFonts w:asciiTheme="majorBidi" w:hAnsiTheme="majorBidi" w:cstheme="majorBidi"/>
        </w:rPr>
      </w:pPr>
      <w:r w:rsidRPr="00C27906">
        <w:rPr>
          <w:rFonts w:asciiTheme="majorBidi" w:hAnsiTheme="majorBidi" w:cstheme="majorBidi"/>
        </w:rPr>
        <w:t>L'aliment idéal, source de tous les macro- et micronutriments, n'existe pas d'où la nécessité d'un apport quotidien et varié de toutes les catégories d'aliments, dans les proportions définies pour la couverture des besoins physiologiques de l'organisme.</w:t>
      </w:r>
    </w:p>
    <w:p w:rsidR="00C27906" w:rsidRPr="00C27906" w:rsidRDefault="00C27906" w:rsidP="005F788E">
      <w:pPr>
        <w:ind w:left="567"/>
        <w:jc w:val="both"/>
        <w:rPr>
          <w:rFonts w:asciiTheme="majorBidi" w:hAnsiTheme="majorBidi" w:cstheme="majorBidi"/>
        </w:rPr>
      </w:pPr>
      <w:r w:rsidRPr="00C27906">
        <w:rPr>
          <w:rFonts w:asciiTheme="majorBidi" w:hAnsiTheme="majorBidi" w:cstheme="majorBidi"/>
        </w:rPr>
        <w:t>Selon leur composition biochimique, les aliments sont classés en cinq grands groupes : (viandes, poissons, œufs), (produits laitiers), (céréales, pomme de terre, légumineuses), (matières grasses) et (légumes et fruits). La valeur de l'indice de diversité alimentaire correspond au nombre de groupes d'aliments consommés par jour. Lorsque cette valeur est supérieure ou égale à 3, on parle de forte diversité alimentaire.</w:t>
      </w:r>
    </w:p>
    <w:p w:rsidR="00C27906" w:rsidRPr="00C27906" w:rsidRDefault="00C27906" w:rsidP="005F788E">
      <w:pPr>
        <w:ind w:left="567"/>
        <w:jc w:val="both"/>
        <w:rPr>
          <w:rFonts w:asciiTheme="majorBidi" w:hAnsiTheme="majorBidi" w:cstheme="majorBidi"/>
        </w:rPr>
      </w:pPr>
      <w:r w:rsidRPr="00C27906">
        <w:rPr>
          <w:rFonts w:asciiTheme="majorBidi" w:hAnsiTheme="majorBidi" w:cstheme="majorBidi"/>
        </w:rPr>
        <w:t>Dans les dernières recommandations d'ANC de l'AFSSA (2001), la représentation du régime global est schématisée sous la forme d'un bateau, les surfaces des différentes parties de ce bateau alimentaire de référence sont proportionnelles aux quantités journalières conseillées pour chacune de ces catégories d'aliments, à savoir 11 à 15% de protéines, 30 à 35% de lipides, 55% de glucides dont au maximum 10% de glucides simples (tableau 1.2).</w:t>
      </w:r>
    </w:p>
    <w:p w:rsidR="00C27906" w:rsidRPr="00C27906" w:rsidRDefault="00C27906" w:rsidP="00C27906">
      <w:pPr>
        <w:jc w:val="both"/>
        <w:rPr>
          <w:rFonts w:asciiTheme="majorBidi" w:hAnsiTheme="majorBidi" w:cstheme="majorBidi"/>
        </w:rPr>
      </w:pPr>
    </w:p>
    <w:p w:rsidR="00C27906" w:rsidRPr="00C27906" w:rsidRDefault="00C27906" w:rsidP="00914681">
      <w:pPr>
        <w:pStyle w:val="Style11"/>
        <w:widowControl/>
        <w:spacing w:line="250" w:lineRule="exact"/>
        <w:ind w:left="567" w:firstLine="0"/>
        <w:rPr>
          <w:rStyle w:val="FontStyle25"/>
          <w:rFonts w:asciiTheme="majorBidi" w:hAnsiTheme="majorBidi" w:cstheme="majorBidi"/>
          <w:sz w:val="24"/>
          <w:szCs w:val="24"/>
        </w:rPr>
      </w:pPr>
      <w:r w:rsidRPr="00C27906">
        <w:rPr>
          <w:rFonts w:asciiTheme="majorBidi" w:hAnsiTheme="majorBidi" w:cstheme="majorBidi"/>
        </w:rPr>
        <w:t xml:space="preserve">Les </w:t>
      </w:r>
      <w:r>
        <w:rPr>
          <w:rStyle w:val="FontStyle25"/>
          <w:rFonts w:asciiTheme="majorBidi" w:hAnsiTheme="majorBidi" w:cstheme="majorBidi"/>
          <w:sz w:val="24"/>
          <w:szCs w:val="24"/>
        </w:rPr>
        <w:t>apports</w:t>
      </w:r>
      <w:r w:rsidRPr="00C27906">
        <w:rPr>
          <w:rStyle w:val="FontStyle25"/>
          <w:rFonts w:asciiTheme="majorBidi" w:hAnsiTheme="majorBidi" w:cstheme="majorBidi"/>
          <w:sz w:val="24"/>
          <w:szCs w:val="24"/>
        </w:rPr>
        <w:t xml:space="preserve"> conseillés en énergie sont calculés à partir de ces dépenses énergétique</w:t>
      </w:r>
      <w:r w:rsidR="00914681">
        <w:rPr>
          <w:rStyle w:val="FontStyle25"/>
          <w:rFonts w:asciiTheme="majorBidi" w:hAnsiTheme="majorBidi" w:cstheme="majorBidi"/>
          <w:sz w:val="24"/>
          <w:szCs w:val="24"/>
        </w:rPr>
        <w:t xml:space="preserve">s de </w:t>
      </w:r>
      <w:r w:rsidRPr="00C27906">
        <w:rPr>
          <w:rStyle w:val="FontStyle25"/>
          <w:rFonts w:asciiTheme="majorBidi" w:hAnsiTheme="majorBidi" w:cstheme="majorBidi"/>
          <w:sz w:val="24"/>
          <w:szCs w:val="24"/>
        </w:rPr>
        <w:t>base auxquelles s'ajoutent les dépenses énergétiques liées à des situations physiologiques particulières : stockage de protéines et de lipides au cours de la de croissance, développement du fœtus et du placenta au cours de la grossesse ou production de lait au cours de l'allaitement.</w:t>
      </w:r>
    </w:p>
    <w:p w:rsidR="00C27906" w:rsidRDefault="00C27906" w:rsidP="00914681">
      <w:pPr>
        <w:pStyle w:val="Style11"/>
        <w:widowControl/>
        <w:spacing w:line="250" w:lineRule="exact"/>
        <w:ind w:left="567" w:firstLine="0"/>
        <w:rPr>
          <w:rStyle w:val="FontStyle25"/>
          <w:rFonts w:asciiTheme="majorBidi" w:hAnsiTheme="majorBidi" w:cstheme="majorBidi"/>
          <w:sz w:val="24"/>
          <w:szCs w:val="24"/>
        </w:rPr>
      </w:pPr>
      <w:r w:rsidRPr="00C27906">
        <w:rPr>
          <w:rStyle w:val="FontStyle25"/>
          <w:rFonts w:asciiTheme="majorBidi" w:hAnsiTheme="majorBidi" w:cstheme="majorBidi"/>
          <w:sz w:val="24"/>
          <w:szCs w:val="24"/>
        </w:rPr>
        <w:t xml:space="preserve">L'équilibre entre les dépenses et les apports énergétiques permet d'assurer une </w:t>
      </w:r>
      <w:r w:rsidR="00914681">
        <w:rPr>
          <w:rStyle w:val="FontStyle25"/>
          <w:rFonts w:asciiTheme="majorBidi" w:hAnsiTheme="majorBidi" w:cstheme="majorBidi"/>
          <w:sz w:val="24"/>
          <w:szCs w:val="24"/>
        </w:rPr>
        <w:t>stabilité</w:t>
      </w:r>
      <w:r w:rsidRPr="00C27906">
        <w:rPr>
          <w:rStyle w:val="FontStyle25"/>
          <w:rFonts w:asciiTheme="majorBidi" w:hAnsiTheme="majorBidi" w:cstheme="majorBidi"/>
          <w:sz w:val="24"/>
          <w:szCs w:val="24"/>
        </w:rPr>
        <w:t xml:space="preserve"> de poids corporel indispensable pour le maintien d'un bon état de santé.</w:t>
      </w:r>
    </w:p>
    <w:p w:rsidR="005E7A72" w:rsidRDefault="005E7A72" w:rsidP="00C27906">
      <w:pPr>
        <w:pStyle w:val="Style11"/>
        <w:widowControl/>
        <w:spacing w:line="250" w:lineRule="exact"/>
        <w:ind w:firstLine="0"/>
        <w:rPr>
          <w:rStyle w:val="FontStyle25"/>
          <w:rFonts w:asciiTheme="majorBidi" w:hAnsiTheme="majorBidi" w:cstheme="majorBidi"/>
          <w:sz w:val="24"/>
          <w:szCs w:val="24"/>
        </w:rPr>
      </w:pPr>
    </w:p>
    <w:p w:rsidR="00C27906" w:rsidRPr="00C27906" w:rsidRDefault="00C27906" w:rsidP="00C27906">
      <w:pPr>
        <w:jc w:val="both"/>
        <w:rPr>
          <w:rFonts w:asciiTheme="majorBidi" w:hAnsiTheme="majorBidi" w:cstheme="majorBidi"/>
        </w:rPr>
      </w:pPr>
    </w:p>
    <w:p w:rsidR="005E7A72" w:rsidRDefault="005E7A72" w:rsidP="005F788E">
      <w:pPr>
        <w:pStyle w:val="Style8"/>
        <w:widowControl/>
        <w:jc w:val="center"/>
        <w:rPr>
          <w:rStyle w:val="FontStyle17"/>
          <w:rFonts w:asciiTheme="majorBidi" w:hAnsiTheme="majorBidi" w:cstheme="majorBidi"/>
          <w:sz w:val="24"/>
          <w:szCs w:val="24"/>
        </w:rPr>
      </w:pPr>
      <w:r>
        <w:rPr>
          <w:rFonts w:asciiTheme="majorBidi" w:hAnsiTheme="majorBidi" w:cstheme="majorBidi"/>
          <w:b/>
          <w:bCs/>
          <w:noProof/>
        </w:rPr>
        <w:lastRenderedPageBreak/>
        <w:drawing>
          <wp:inline distT="0" distB="0" distL="0" distR="0">
            <wp:extent cx="5760720" cy="3400475"/>
            <wp:effectExtent l="19050" t="0" r="0" b="0"/>
            <wp:docPr id="6"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srcRect/>
                    <a:stretch>
                      <a:fillRect/>
                    </a:stretch>
                  </pic:blipFill>
                  <pic:spPr bwMode="auto">
                    <a:xfrm>
                      <a:off x="0" y="0"/>
                      <a:ext cx="5760720" cy="3400475"/>
                    </a:xfrm>
                    <a:prstGeom prst="rect">
                      <a:avLst/>
                    </a:prstGeom>
                    <a:noFill/>
                    <a:ln w="9525">
                      <a:noFill/>
                      <a:miter lim="800000"/>
                      <a:headEnd/>
                      <a:tailEnd/>
                    </a:ln>
                  </pic:spPr>
                </pic:pic>
              </a:graphicData>
            </a:graphic>
          </wp:inline>
        </w:drawing>
      </w:r>
    </w:p>
    <w:p w:rsidR="005E7A72" w:rsidRDefault="005E7A72" w:rsidP="00C27906">
      <w:pPr>
        <w:pStyle w:val="Style8"/>
        <w:widowControl/>
        <w:jc w:val="both"/>
        <w:rPr>
          <w:rStyle w:val="FontStyle17"/>
          <w:rFonts w:asciiTheme="majorBidi" w:hAnsiTheme="majorBidi" w:cstheme="majorBidi"/>
          <w:sz w:val="24"/>
          <w:szCs w:val="24"/>
        </w:rPr>
      </w:pPr>
    </w:p>
    <w:p w:rsidR="00C27906" w:rsidRPr="00C27906" w:rsidRDefault="00C27906" w:rsidP="005F788E">
      <w:pPr>
        <w:pStyle w:val="Style8"/>
        <w:widowControl/>
        <w:ind w:left="567"/>
        <w:jc w:val="both"/>
        <w:rPr>
          <w:rStyle w:val="FontStyle17"/>
          <w:rFonts w:asciiTheme="majorBidi" w:hAnsiTheme="majorBidi" w:cstheme="majorBidi"/>
          <w:sz w:val="24"/>
          <w:szCs w:val="24"/>
        </w:rPr>
      </w:pPr>
      <w:r w:rsidRPr="00C27906">
        <w:rPr>
          <w:rStyle w:val="FontStyle17"/>
          <w:rFonts w:asciiTheme="majorBidi" w:hAnsiTheme="majorBidi" w:cstheme="majorBidi"/>
          <w:sz w:val="24"/>
          <w:szCs w:val="24"/>
        </w:rPr>
        <w:t>1.3 ALIMENTS FONCTIONNELS</w:t>
      </w:r>
    </w:p>
    <w:p w:rsidR="00C27906" w:rsidRPr="00C27906" w:rsidRDefault="00C27906" w:rsidP="005F788E">
      <w:pPr>
        <w:pStyle w:val="Style7"/>
        <w:widowControl/>
        <w:spacing w:before="182"/>
        <w:ind w:left="567"/>
        <w:jc w:val="both"/>
        <w:rPr>
          <w:rStyle w:val="FontStyle18"/>
          <w:rFonts w:asciiTheme="majorBidi" w:hAnsiTheme="majorBidi" w:cstheme="majorBidi"/>
          <w:sz w:val="24"/>
          <w:szCs w:val="24"/>
        </w:rPr>
      </w:pPr>
      <w:r w:rsidRPr="00C27906">
        <w:rPr>
          <w:rStyle w:val="FontStyle18"/>
          <w:rFonts w:asciiTheme="majorBidi" w:hAnsiTheme="majorBidi" w:cstheme="majorBidi"/>
          <w:sz w:val="24"/>
          <w:szCs w:val="24"/>
        </w:rPr>
        <w:t>Au cours des 30 dernières années sont arrivés sur le marché dans des pays comme le Japon, les États-Unis, le Canada, l'Union européenne... des aliments associés à la notion de bénéfices pour la santé.</w:t>
      </w:r>
    </w:p>
    <w:p w:rsidR="00C27906" w:rsidRPr="00C27906" w:rsidRDefault="00C27906" w:rsidP="005F788E">
      <w:pPr>
        <w:pStyle w:val="Style6"/>
        <w:widowControl/>
        <w:spacing w:before="5"/>
        <w:ind w:left="567" w:firstLine="0"/>
        <w:rPr>
          <w:rStyle w:val="FontStyle18"/>
          <w:rFonts w:asciiTheme="majorBidi" w:hAnsiTheme="majorBidi" w:cstheme="majorBidi"/>
          <w:sz w:val="24"/>
          <w:szCs w:val="24"/>
        </w:rPr>
      </w:pPr>
      <w:r w:rsidRPr="00C27906">
        <w:rPr>
          <w:rStyle w:val="FontStyle18"/>
          <w:rFonts w:asciiTheme="majorBidi" w:hAnsiTheme="majorBidi" w:cstheme="majorBidi"/>
          <w:sz w:val="24"/>
          <w:szCs w:val="24"/>
        </w:rPr>
        <w:t xml:space="preserve">Souvent désignés par les néologismes alicaments, </w:t>
      </w:r>
      <w:proofErr w:type="spellStart"/>
      <w:r w:rsidRPr="00C27906">
        <w:rPr>
          <w:rStyle w:val="FontStyle18"/>
          <w:rFonts w:asciiTheme="majorBidi" w:hAnsiTheme="majorBidi" w:cstheme="majorBidi"/>
          <w:sz w:val="24"/>
          <w:szCs w:val="24"/>
        </w:rPr>
        <w:t>nutraceutiques</w:t>
      </w:r>
      <w:proofErr w:type="spellEnd"/>
      <w:r w:rsidRPr="00C27906">
        <w:rPr>
          <w:rStyle w:val="FontStyle18"/>
          <w:rFonts w:asciiTheme="majorBidi" w:hAnsiTheme="majorBidi" w:cstheme="majorBidi"/>
          <w:sz w:val="24"/>
          <w:szCs w:val="24"/>
        </w:rPr>
        <w:t xml:space="preserve"> mais c'est l'appellation « aliment fonctionnel » qui a la préférence de la grande majorité des scientifiques en charge des questions alimentaires et nutritionnelles.</w:t>
      </w:r>
    </w:p>
    <w:p w:rsidR="00C27906" w:rsidRPr="00C27906" w:rsidRDefault="00C27906" w:rsidP="005F788E">
      <w:pPr>
        <w:pStyle w:val="Style6"/>
        <w:widowControl/>
        <w:spacing w:before="14" w:line="250" w:lineRule="exact"/>
        <w:ind w:left="567" w:firstLine="0"/>
        <w:rPr>
          <w:rStyle w:val="FontStyle18"/>
          <w:rFonts w:asciiTheme="majorBidi" w:hAnsiTheme="majorBidi" w:cstheme="majorBidi"/>
          <w:sz w:val="24"/>
          <w:szCs w:val="24"/>
        </w:rPr>
      </w:pPr>
      <w:r w:rsidRPr="00C27906">
        <w:rPr>
          <w:rStyle w:val="FontStyle18"/>
          <w:rFonts w:asciiTheme="majorBidi" w:hAnsiTheme="majorBidi" w:cstheme="majorBidi"/>
          <w:sz w:val="24"/>
          <w:szCs w:val="24"/>
        </w:rPr>
        <w:t>Avant qu'un consensus de terminologie ne s'impose sur le plan international, on peut dire qu'un aliment fonctionnel fait partie de l'alimentation normale mais il procure des bienfaits physiologiques démontrés et/ou réduit le risque de maladie chronique au-delà des fonctions nutritionnelles de base. Autrement dit, en plus des nutriments essentiels, il contient des composés physiologiquement actifs.</w:t>
      </w:r>
    </w:p>
    <w:p w:rsidR="00C27906" w:rsidRPr="00C27906" w:rsidRDefault="00C27906" w:rsidP="005F788E">
      <w:pPr>
        <w:pStyle w:val="Style6"/>
        <w:widowControl/>
        <w:spacing w:before="19" w:line="250" w:lineRule="exact"/>
        <w:ind w:left="567" w:firstLine="0"/>
        <w:rPr>
          <w:rStyle w:val="FontStyle18"/>
          <w:rFonts w:asciiTheme="majorBidi" w:hAnsiTheme="majorBidi" w:cstheme="majorBidi"/>
          <w:sz w:val="24"/>
          <w:szCs w:val="24"/>
        </w:rPr>
      </w:pPr>
      <w:r w:rsidRPr="00C27906">
        <w:rPr>
          <w:rStyle w:val="FontStyle18"/>
          <w:rFonts w:asciiTheme="majorBidi" w:hAnsiTheme="majorBidi" w:cstheme="majorBidi"/>
          <w:sz w:val="24"/>
          <w:szCs w:val="24"/>
        </w:rPr>
        <w:t xml:space="preserve">Un produit </w:t>
      </w:r>
      <w:proofErr w:type="spellStart"/>
      <w:r w:rsidRPr="00C27906">
        <w:rPr>
          <w:rStyle w:val="FontStyle18"/>
          <w:rFonts w:asciiTheme="majorBidi" w:hAnsiTheme="majorBidi" w:cstheme="majorBidi"/>
          <w:sz w:val="24"/>
          <w:szCs w:val="24"/>
        </w:rPr>
        <w:t>nutraceutique</w:t>
      </w:r>
      <w:proofErr w:type="spellEnd"/>
      <w:r w:rsidRPr="00C27906">
        <w:rPr>
          <w:rStyle w:val="FontStyle18"/>
          <w:rFonts w:asciiTheme="majorBidi" w:hAnsiTheme="majorBidi" w:cstheme="majorBidi"/>
          <w:sz w:val="24"/>
          <w:szCs w:val="24"/>
        </w:rPr>
        <w:t xml:space="preserve"> est isolé ou purifié à partir d'aliments, mais présenté en général sous des formes médicinales qui ne sont pas d'habitude associées aux aliments. L'effet physiologique bénéfique ou la capacité de protéger contre les maladies chroniques des produits </w:t>
      </w:r>
      <w:proofErr w:type="spellStart"/>
      <w:r w:rsidRPr="00C27906">
        <w:rPr>
          <w:rStyle w:val="FontStyle18"/>
          <w:rFonts w:asciiTheme="majorBidi" w:hAnsiTheme="majorBidi" w:cstheme="majorBidi"/>
          <w:sz w:val="24"/>
          <w:szCs w:val="24"/>
        </w:rPr>
        <w:t>nutraceutiques</w:t>
      </w:r>
      <w:proofErr w:type="spellEnd"/>
      <w:r w:rsidRPr="00C27906">
        <w:rPr>
          <w:rStyle w:val="FontStyle18"/>
          <w:rFonts w:asciiTheme="majorBidi" w:hAnsiTheme="majorBidi" w:cstheme="majorBidi"/>
          <w:sz w:val="24"/>
          <w:szCs w:val="24"/>
        </w:rPr>
        <w:t xml:space="preserve"> doit être prouvé.</w:t>
      </w:r>
    </w:p>
    <w:p w:rsidR="00C27906" w:rsidRPr="00C27906" w:rsidRDefault="00C27906" w:rsidP="005F788E">
      <w:pPr>
        <w:pStyle w:val="Style6"/>
        <w:widowControl/>
        <w:spacing w:before="14" w:line="250" w:lineRule="exact"/>
        <w:ind w:left="567" w:firstLine="0"/>
        <w:rPr>
          <w:rStyle w:val="FontStyle18"/>
          <w:rFonts w:asciiTheme="majorBidi" w:hAnsiTheme="majorBidi" w:cstheme="majorBidi"/>
          <w:sz w:val="24"/>
          <w:szCs w:val="24"/>
        </w:rPr>
      </w:pPr>
      <w:r w:rsidRPr="00C27906">
        <w:rPr>
          <w:rStyle w:val="FontStyle18"/>
          <w:rFonts w:asciiTheme="majorBidi" w:hAnsiTheme="majorBidi" w:cstheme="majorBidi"/>
          <w:sz w:val="24"/>
          <w:szCs w:val="24"/>
        </w:rPr>
        <w:t>Pour résumer, les allégations fonctionnelles décrivent les conséquences positives des interactions entre un composant alimentaire et les fonctions génomiques, biochimiques, cellulaires ou physiologiques de l'individu consommateur de l'aliment. Elles indiquent que la consommation d'un composant alimentaire ou d'un ingrédient spécifique est un moyen de prévention contre une pathologie ou une maladie.</w:t>
      </w:r>
    </w:p>
    <w:p w:rsidR="00C27906" w:rsidRPr="00C27906" w:rsidRDefault="00C27906" w:rsidP="005F788E">
      <w:pPr>
        <w:pStyle w:val="Style6"/>
        <w:widowControl/>
        <w:spacing w:before="10" w:line="259" w:lineRule="exact"/>
        <w:ind w:left="567" w:firstLine="0"/>
        <w:rPr>
          <w:rStyle w:val="FontStyle18"/>
          <w:rFonts w:asciiTheme="majorBidi" w:hAnsiTheme="majorBidi" w:cstheme="majorBidi"/>
          <w:sz w:val="24"/>
          <w:szCs w:val="24"/>
        </w:rPr>
      </w:pPr>
      <w:r w:rsidRPr="00C27906">
        <w:rPr>
          <w:rStyle w:val="FontStyle18"/>
          <w:rFonts w:asciiTheme="majorBidi" w:hAnsiTheme="majorBidi" w:cstheme="majorBidi"/>
          <w:sz w:val="24"/>
          <w:szCs w:val="24"/>
        </w:rPr>
        <w:t>Les aliments fonctionnels comprennent plusieurs catégories :</w:t>
      </w:r>
    </w:p>
    <w:p w:rsidR="00C27906" w:rsidRPr="00C27906" w:rsidRDefault="00C27906" w:rsidP="005F788E">
      <w:pPr>
        <w:pStyle w:val="Style6"/>
        <w:widowControl/>
        <w:spacing w:before="10" w:line="259" w:lineRule="exact"/>
        <w:ind w:left="567" w:firstLine="141"/>
        <w:rPr>
          <w:rStyle w:val="FontStyle18"/>
          <w:rFonts w:asciiTheme="majorBidi" w:hAnsiTheme="majorBidi" w:cstheme="majorBidi"/>
          <w:sz w:val="24"/>
          <w:szCs w:val="24"/>
        </w:rPr>
      </w:pPr>
      <w:r w:rsidRPr="00C27906">
        <w:rPr>
          <w:rStyle w:val="FontStyle18"/>
          <w:rFonts w:asciiTheme="majorBidi" w:hAnsiTheme="majorBidi" w:cstheme="majorBidi"/>
          <w:sz w:val="24"/>
          <w:szCs w:val="24"/>
        </w:rPr>
        <w:t xml:space="preserve">- les aliments de base, comme les carottes contenant naturellement du ß-carotène, antioxydant et </w:t>
      </w:r>
      <w:proofErr w:type="spellStart"/>
      <w:r w:rsidRPr="00C27906">
        <w:rPr>
          <w:rStyle w:val="FontStyle18"/>
          <w:rFonts w:asciiTheme="majorBidi" w:hAnsiTheme="majorBidi" w:cstheme="majorBidi"/>
          <w:sz w:val="24"/>
          <w:szCs w:val="24"/>
        </w:rPr>
        <w:t>pro-vitamine</w:t>
      </w:r>
      <w:proofErr w:type="spellEnd"/>
      <w:r w:rsidRPr="00C27906">
        <w:rPr>
          <w:rStyle w:val="FontStyle18"/>
          <w:rFonts w:asciiTheme="majorBidi" w:hAnsiTheme="majorBidi" w:cstheme="majorBidi"/>
          <w:sz w:val="24"/>
          <w:szCs w:val="24"/>
        </w:rPr>
        <w:t xml:space="preserve"> A,</w:t>
      </w:r>
    </w:p>
    <w:p w:rsidR="00C27906" w:rsidRPr="00C27906" w:rsidRDefault="00C27906" w:rsidP="00C27906">
      <w:pPr>
        <w:jc w:val="both"/>
        <w:rPr>
          <w:rFonts w:asciiTheme="majorBidi" w:hAnsiTheme="majorBidi" w:cstheme="majorBidi"/>
        </w:rPr>
      </w:pPr>
    </w:p>
    <w:p w:rsidR="00C27906" w:rsidRPr="00C27906" w:rsidRDefault="00C27906" w:rsidP="005F788E">
      <w:pPr>
        <w:pStyle w:val="Style3"/>
        <w:widowControl/>
        <w:numPr>
          <w:ilvl w:val="0"/>
          <w:numId w:val="2"/>
        </w:numPr>
        <w:tabs>
          <w:tab w:val="left" w:pos="230"/>
        </w:tabs>
        <w:spacing w:line="254" w:lineRule="exact"/>
        <w:ind w:left="708"/>
        <w:jc w:val="both"/>
        <w:rPr>
          <w:rStyle w:val="FontStyle14"/>
          <w:rFonts w:asciiTheme="majorBidi" w:hAnsiTheme="majorBidi" w:cstheme="majorBidi"/>
          <w:sz w:val="24"/>
          <w:szCs w:val="24"/>
        </w:rPr>
      </w:pPr>
      <w:r w:rsidRPr="00C27906">
        <w:rPr>
          <w:rStyle w:val="FontStyle14"/>
          <w:rFonts w:asciiTheme="majorBidi" w:hAnsiTheme="majorBidi" w:cstheme="majorBidi"/>
          <w:sz w:val="24"/>
          <w:szCs w:val="24"/>
        </w:rPr>
        <w:t>les aliments enrichis avec des ingrédients ajoutés comme les jus de fruits à teneur augmentée en micronutriments (calcium, vitamines...),</w:t>
      </w:r>
    </w:p>
    <w:p w:rsidR="00C27906" w:rsidRPr="00C27906" w:rsidRDefault="00C27906" w:rsidP="005F788E">
      <w:pPr>
        <w:pStyle w:val="Style3"/>
        <w:widowControl/>
        <w:numPr>
          <w:ilvl w:val="0"/>
          <w:numId w:val="2"/>
        </w:numPr>
        <w:tabs>
          <w:tab w:val="left" w:pos="230"/>
        </w:tabs>
        <w:spacing w:before="10" w:line="254" w:lineRule="exact"/>
        <w:ind w:left="708" w:right="10"/>
        <w:jc w:val="both"/>
        <w:rPr>
          <w:rStyle w:val="FontStyle14"/>
          <w:rFonts w:asciiTheme="majorBidi" w:hAnsiTheme="majorBidi" w:cstheme="majorBidi"/>
          <w:sz w:val="24"/>
          <w:szCs w:val="24"/>
        </w:rPr>
      </w:pPr>
      <w:r w:rsidRPr="00C27906">
        <w:rPr>
          <w:rStyle w:val="FontStyle14"/>
          <w:rFonts w:asciiTheme="majorBidi" w:hAnsiTheme="majorBidi" w:cstheme="majorBidi"/>
          <w:sz w:val="24"/>
          <w:szCs w:val="24"/>
        </w:rPr>
        <w:t xml:space="preserve">les aliments améliorés présentant au moins un composé bioactif par sélection traditionnelle (tomates </w:t>
      </w:r>
      <w:r w:rsidRPr="00C27906">
        <w:rPr>
          <w:rStyle w:val="FontStyle12"/>
          <w:rFonts w:asciiTheme="majorBidi" w:hAnsiTheme="majorBidi" w:cstheme="majorBidi"/>
          <w:sz w:val="24"/>
          <w:szCs w:val="24"/>
        </w:rPr>
        <w:t xml:space="preserve">à </w:t>
      </w:r>
      <w:r w:rsidRPr="00C27906">
        <w:rPr>
          <w:rStyle w:val="FontStyle14"/>
          <w:rFonts w:asciiTheme="majorBidi" w:hAnsiTheme="majorBidi" w:cstheme="majorBidi"/>
          <w:sz w:val="24"/>
          <w:szCs w:val="24"/>
        </w:rPr>
        <w:t xml:space="preserve">teneur élevée en un caroténoïde antioxydant comme le </w:t>
      </w:r>
      <w:proofErr w:type="spellStart"/>
      <w:r w:rsidRPr="00C27906">
        <w:rPr>
          <w:rStyle w:val="FontStyle14"/>
          <w:rFonts w:asciiTheme="majorBidi" w:hAnsiTheme="majorBidi" w:cstheme="majorBidi"/>
          <w:sz w:val="24"/>
          <w:szCs w:val="24"/>
        </w:rPr>
        <w:t>lycopène</w:t>
      </w:r>
      <w:proofErr w:type="spellEnd"/>
      <w:r w:rsidRPr="00C27906">
        <w:rPr>
          <w:rStyle w:val="FontStyle14"/>
          <w:rFonts w:asciiTheme="majorBidi" w:hAnsiTheme="majorBidi" w:cstheme="majorBidi"/>
          <w:sz w:val="24"/>
          <w:szCs w:val="24"/>
        </w:rPr>
        <w:t>), ou par alimentation adaptée des animaux (œufs contenant des acides gras oméga-3 par alimentation des poules avec des graines de lin),</w:t>
      </w:r>
    </w:p>
    <w:p w:rsidR="00C27906" w:rsidRPr="00C27906" w:rsidRDefault="00C27906" w:rsidP="005F788E">
      <w:pPr>
        <w:pStyle w:val="Style3"/>
        <w:widowControl/>
        <w:numPr>
          <w:ilvl w:val="0"/>
          <w:numId w:val="2"/>
        </w:numPr>
        <w:tabs>
          <w:tab w:val="left" w:pos="230"/>
        </w:tabs>
        <w:spacing w:before="5" w:line="254" w:lineRule="exact"/>
        <w:ind w:left="708" w:right="10"/>
        <w:jc w:val="both"/>
        <w:rPr>
          <w:rStyle w:val="FontStyle14"/>
          <w:rFonts w:asciiTheme="majorBidi" w:hAnsiTheme="majorBidi" w:cstheme="majorBidi"/>
          <w:sz w:val="24"/>
          <w:szCs w:val="24"/>
        </w:rPr>
      </w:pPr>
      <w:r w:rsidRPr="00C27906">
        <w:rPr>
          <w:rStyle w:val="FontStyle14"/>
          <w:rFonts w:asciiTheme="majorBidi" w:hAnsiTheme="majorBidi" w:cstheme="majorBidi"/>
          <w:sz w:val="24"/>
          <w:szCs w:val="24"/>
        </w:rPr>
        <w:t xml:space="preserve">les aliments fonctionnalisés par ajout d'un ingrédient n'existant pas naturellement dans l'aliment traditionnel (sucre avec fibres </w:t>
      </w:r>
      <w:proofErr w:type="spellStart"/>
      <w:r w:rsidRPr="00C27906">
        <w:rPr>
          <w:rStyle w:val="FontStyle14"/>
          <w:rFonts w:asciiTheme="majorBidi" w:hAnsiTheme="majorBidi" w:cstheme="majorBidi"/>
          <w:sz w:val="24"/>
          <w:szCs w:val="24"/>
        </w:rPr>
        <w:t>bifidogènes</w:t>
      </w:r>
      <w:proofErr w:type="spellEnd"/>
      <w:r w:rsidRPr="00C27906">
        <w:rPr>
          <w:rStyle w:val="FontStyle14"/>
          <w:rFonts w:asciiTheme="majorBidi" w:hAnsiTheme="majorBidi" w:cstheme="majorBidi"/>
          <w:sz w:val="24"/>
          <w:szCs w:val="24"/>
        </w:rPr>
        <w:t>).</w:t>
      </w:r>
    </w:p>
    <w:p w:rsidR="00C27906" w:rsidRPr="00C27906" w:rsidRDefault="00C27906" w:rsidP="00C27906">
      <w:pPr>
        <w:pStyle w:val="Style3"/>
        <w:widowControl/>
        <w:tabs>
          <w:tab w:val="left" w:pos="230"/>
        </w:tabs>
        <w:spacing w:before="5" w:line="254" w:lineRule="exact"/>
        <w:ind w:left="230" w:right="10"/>
        <w:jc w:val="both"/>
        <w:rPr>
          <w:rStyle w:val="FontStyle14"/>
          <w:rFonts w:asciiTheme="majorBidi" w:hAnsiTheme="majorBidi" w:cstheme="majorBidi"/>
          <w:sz w:val="24"/>
          <w:szCs w:val="24"/>
        </w:rPr>
      </w:pPr>
    </w:p>
    <w:p w:rsidR="00C27906" w:rsidRDefault="00C27906" w:rsidP="00C27906">
      <w:pPr>
        <w:jc w:val="both"/>
        <w:rPr>
          <w:rFonts w:asciiTheme="majorBidi" w:hAnsiTheme="majorBidi" w:cstheme="majorBidi"/>
        </w:rPr>
      </w:pPr>
    </w:p>
    <w:p w:rsidR="0032536E" w:rsidRDefault="0032536E" w:rsidP="005F788E">
      <w:pPr>
        <w:jc w:val="center"/>
      </w:pPr>
    </w:p>
    <w:p w:rsidR="00C27906" w:rsidRDefault="00C27906" w:rsidP="005F788E">
      <w:pPr>
        <w:jc w:val="center"/>
      </w:pPr>
    </w:p>
    <w:sectPr w:rsidR="00C27906" w:rsidSect="005F788E">
      <w:footerReference w:type="default" r:id="rId13"/>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2AC9" w:rsidRDefault="00E62AC9" w:rsidP="00950D91">
      <w:r>
        <w:separator/>
      </w:r>
    </w:p>
  </w:endnote>
  <w:endnote w:type="continuationSeparator" w:id="0">
    <w:p w:rsidR="00E62AC9" w:rsidRDefault="00E62AC9" w:rsidP="00950D9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DE"/>
    <w:family w:val="roman"/>
    <w:notTrueType/>
    <w:pitch w:val="variable"/>
    <w:sig w:usb0="01000001" w:usb1="00000000" w:usb2="00000000" w:usb3="00000000" w:csb0="0001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ndara">
    <w:panose1 w:val="020E0502030303020204"/>
    <w:charset w:val="00"/>
    <w:family w:val="swiss"/>
    <w:pitch w:val="variable"/>
    <w:sig w:usb0="A00002EF" w:usb1="4000A4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528270"/>
      <w:docPartObj>
        <w:docPartGallery w:val="Page Numbers (Bottom of Page)"/>
        <w:docPartUnique/>
      </w:docPartObj>
    </w:sdtPr>
    <w:sdtContent>
      <w:p w:rsidR="00950D91" w:rsidRDefault="00D03146">
        <w:pPr>
          <w:pStyle w:val="Pieddepage"/>
          <w:jc w:val="center"/>
        </w:pPr>
        <w:fldSimple w:instr=" PAGE   \* MERGEFORMAT ">
          <w:r w:rsidR="001C58F2">
            <w:rPr>
              <w:noProof/>
            </w:rPr>
            <w:t>1</w:t>
          </w:r>
        </w:fldSimple>
      </w:p>
    </w:sdtContent>
  </w:sdt>
  <w:p w:rsidR="00950D91" w:rsidRDefault="00950D91">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2AC9" w:rsidRDefault="00E62AC9" w:rsidP="00950D91">
      <w:r>
        <w:separator/>
      </w:r>
    </w:p>
  </w:footnote>
  <w:footnote w:type="continuationSeparator" w:id="0">
    <w:p w:rsidR="00E62AC9" w:rsidRDefault="00E62AC9" w:rsidP="00950D9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780FF5A"/>
    <w:lvl w:ilvl="0">
      <w:numFmt w:val="bullet"/>
      <w:lvlText w:val="*"/>
      <w:lvlJc w:val="left"/>
    </w:lvl>
  </w:abstractNum>
  <w:abstractNum w:abstractNumId="1">
    <w:nsid w:val="208D7DB4"/>
    <w:multiLevelType w:val="hybridMultilevel"/>
    <w:tmpl w:val="4212FA84"/>
    <w:lvl w:ilvl="0" w:tplc="040C0001">
      <w:start w:val="1"/>
      <w:numFmt w:val="bullet"/>
      <w:lvlText w:val=""/>
      <w:lvlJc w:val="left"/>
      <w:pPr>
        <w:ind w:left="771" w:hanging="360"/>
      </w:pPr>
      <w:rPr>
        <w:rFonts w:ascii="Symbol" w:hAnsi="Symbol" w:hint="default"/>
      </w:rPr>
    </w:lvl>
    <w:lvl w:ilvl="1" w:tplc="040C0003" w:tentative="1">
      <w:start w:val="1"/>
      <w:numFmt w:val="bullet"/>
      <w:lvlText w:val="o"/>
      <w:lvlJc w:val="left"/>
      <w:pPr>
        <w:ind w:left="1491" w:hanging="360"/>
      </w:pPr>
      <w:rPr>
        <w:rFonts w:ascii="Courier New" w:hAnsi="Courier New" w:cs="Courier New" w:hint="default"/>
      </w:rPr>
    </w:lvl>
    <w:lvl w:ilvl="2" w:tplc="040C0005" w:tentative="1">
      <w:start w:val="1"/>
      <w:numFmt w:val="bullet"/>
      <w:lvlText w:val=""/>
      <w:lvlJc w:val="left"/>
      <w:pPr>
        <w:ind w:left="2211" w:hanging="360"/>
      </w:pPr>
      <w:rPr>
        <w:rFonts w:ascii="Wingdings" w:hAnsi="Wingdings" w:hint="default"/>
      </w:rPr>
    </w:lvl>
    <w:lvl w:ilvl="3" w:tplc="040C0001" w:tentative="1">
      <w:start w:val="1"/>
      <w:numFmt w:val="bullet"/>
      <w:lvlText w:val=""/>
      <w:lvlJc w:val="left"/>
      <w:pPr>
        <w:ind w:left="2931" w:hanging="360"/>
      </w:pPr>
      <w:rPr>
        <w:rFonts w:ascii="Symbol" w:hAnsi="Symbol" w:hint="default"/>
      </w:rPr>
    </w:lvl>
    <w:lvl w:ilvl="4" w:tplc="040C0003" w:tentative="1">
      <w:start w:val="1"/>
      <w:numFmt w:val="bullet"/>
      <w:lvlText w:val="o"/>
      <w:lvlJc w:val="left"/>
      <w:pPr>
        <w:ind w:left="3651" w:hanging="360"/>
      </w:pPr>
      <w:rPr>
        <w:rFonts w:ascii="Courier New" w:hAnsi="Courier New" w:cs="Courier New" w:hint="default"/>
      </w:rPr>
    </w:lvl>
    <w:lvl w:ilvl="5" w:tplc="040C0005" w:tentative="1">
      <w:start w:val="1"/>
      <w:numFmt w:val="bullet"/>
      <w:lvlText w:val=""/>
      <w:lvlJc w:val="left"/>
      <w:pPr>
        <w:ind w:left="4371" w:hanging="360"/>
      </w:pPr>
      <w:rPr>
        <w:rFonts w:ascii="Wingdings" w:hAnsi="Wingdings" w:hint="default"/>
      </w:rPr>
    </w:lvl>
    <w:lvl w:ilvl="6" w:tplc="040C0001" w:tentative="1">
      <w:start w:val="1"/>
      <w:numFmt w:val="bullet"/>
      <w:lvlText w:val=""/>
      <w:lvlJc w:val="left"/>
      <w:pPr>
        <w:ind w:left="5091" w:hanging="360"/>
      </w:pPr>
      <w:rPr>
        <w:rFonts w:ascii="Symbol" w:hAnsi="Symbol" w:hint="default"/>
      </w:rPr>
    </w:lvl>
    <w:lvl w:ilvl="7" w:tplc="040C0003" w:tentative="1">
      <w:start w:val="1"/>
      <w:numFmt w:val="bullet"/>
      <w:lvlText w:val="o"/>
      <w:lvlJc w:val="left"/>
      <w:pPr>
        <w:ind w:left="5811" w:hanging="360"/>
      </w:pPr>
      <w:rPr>
        <w:rFonts w:ascii="Courier New" w:hAnsi="Courier New" w:cs="Courier New" w:hint="default"/>
      </w:rPr>
    </w:lvl>
    <w:lvl w:ilvl="8" w:tplc="040C0005" w:tentative="1">
      <w:start w:val="1"/>
      <w:numFmt w:val="bullet"/>
      <w:lvlText w:val=""/>
      <w:lvlJc w:val="left"/>
      <w:pPr>
        <w:ind w:left="6531" w:hanging="360"/>
      </w:pPr>
      <w:rPr>
        <w:rFonts w:ascii="Wingdings" w:hAnsi="Wingdings" w:hint="default"/>
      </w:rPr>
    </w:lvl>
  </w:abstractNum>
  <w:abstractNum w:abstractNumId="2">
    <w:nsid w:val="521E039E"/>
    <w:multiLevelType w:val="hybridMultilevel"/>
    <w:tmpl w:val="2A7E7B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6BAC6134"/>
    <w:multiLevelType w:val="hybridMultilevel"/>
    <w:tmpl w:val="BBF8C4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lvlOverride w:ilvl="0">
      <w:lvl w:ilvl="0">
        <w:start w:val="65535"/>
        <w:numFmt w:val="bullet"/>
        <w:lvlText w:val="-"/>
        <w:legacy w:legacy="1" w:legacySpace="0" w:legacyIndent="235"/>
        <w:lvlJc w:val="left"/>
        <w:rPr>
          <w:rFonts w:ascii="Angsana New" w:hAnsi="Angsana New" w:cs="Angsana New" w:hint="default"/>
        </w:rPr>
      </w:lvl>
    </w:lvlOverride>
  </w:num>
  <w:num w:numId="2">
    <w:abstractNumId w:val="0"/>
    <w:lvlOverride w:ilvl="0">
      <w:lvl w:ilvl="0">
        <w:start w:val="65535"/>
        <w:numFmt w:val="bullet"/>
        <w:lvlText w:val="-"/>
        <w:legacy w:legacy="1" w:legacySpace="0" w:legacyIndent="230"/>
        <w:lvlJc w:val="left"/>
        <w:rPr>
          <w:rFonts w:ascii="Times New Roman" w:hAnsi="Times New Roman" w:cs="Times New Roman" w:hint="default"/>
        </w:rPr>
      </w:lvl>
    </w:lvlOverride>
  </w:num>
  <w:num w:numId="3">
    <w:abstractNumId w:val="3"/>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C27906"/>
    <w:rsid w:val="000058EB"/>
    <w:rsid w:val="00010C9B"/>
    <w:rsid w:val="00012819"/>
    <w:rsid w:val="00012BF5"/>
    <w:rsid w:val="00022DEB"/>
    <w:rsid w:val="000271ED"/>
    <w:rsid w:val="00032326"/>
    <w:rsid w:val="00032BD8"/>
    <w:rsid w:val="00032F2A"/>
    <w:rsid w:val="000331B6"/>
    <w:rsid w:val="00035461"/>
    <w:rsid w:val="00042304"/>
    <w:rsid w:val="00046025"/>
    <w:rsid w:val="00047519"/>
    <w:rsid w:val="000478E4"/>
    <w:rsid w:val="00047E1C"/>
    <w:rsid w:val="00050159"/>
    <w:rsid w:val="00053392"/>
    <w:rsid w:val="00053FB1"/>
    <w:rsid w:val="0005454B"/>
    <w:rsid w:val="000572EE"/>
    <w:rsid w:val="00057488"/>
    <w:rsid w:val="00062452"/>
    <w:rsid w:val="000711CD"/>
    <w:rsid w:val="000848DD"/>
    <w:rsid w:val="000849DC"/>
    <w:rsid w:val="00086DB9"/>
    <w:rsid w:val="00087007"/>
    <w:rsid w:val="00087413"/>
    <w:rsid w:val="00087D90"/>
    <w:rsid w:val="00087DB1"/>
    <w:rsid w:val="00090C99"/>
    <w:rsid w:val="00090F56"/>
    <w:rsid w:val="000969BA"/>
    <w:rsid w:val="000A41D5"/>
    <w:rsid w:val="000A5FC2"/>
    <w:rsid w:val="000A7AC5"/>
    <w:rsid w:val="000B1988"/>
    <w:rsid w:val="000B2D70"/>
    <w:rsid w:val="000B68B6"/>
    <w:rsid w:val="000B7FE8"/>
    <w:rsid w:val="000C31B9"/>
    <w:rsid w:val="000C40D1"/>
    <w:rsid w:val="000C74A5"/>
    <w:rsid w:val="000C7577"/>
    <w:rsid w:val="000D17FE"/>
    <w:rsid w:val="000D401D"/>
    <w:rsid w:val="000D4062"/>
    <w:rsid w:val="000E094E"/>
    <w:rsid w:val="000E0CC0"/>
    <w:rsid w:val="000E1B5F"/>
    <w:rsid w:val="000E32C6"/>
    <w:rsid w:val="000E361C"/>
    <w:rsid w:val="000E37D3"/>
    <w:rsid w:val="000E6D5E"/>
    <w:rsid w:val="000E7796"/>
    <w:rsid w:val="000F1541"/>
    <w:rsid w:val="000F7E9F"/>
    <w:rsid w:val="0010746A"/>
    <w:rsid w:val="001167F7"/>
    <w:rsid w:val="00117197"/>
    <w:rsid w:val="00117F31"/>
    <w:rsid w:val="00120F08"/>
    <w:rsid w:val="00120FFC"/>
    <w:rsid w:val="001221B5"/>
    <w:rsid w:val="00130CBA"/>
    <w:rsid w:val="001318A6"/>
    <w:rsid w:val="00133175"/>
    <w:rsid w:val="00135829"/>
    <w:rsid w:val="00137A1E"/>
    <w:rsid w:val="0014154F"/>
    <w:rsid w:val="001427EF"/>
    <w:rsid w:val="00143F8E"/>
    <w:rsid w:val="00145A68"/>
    <w:rsid w:val="00147C2D"/>
    <w:rsid w:val="001501A8"/>
    <w:rsid w:val="0015661F"/>
    <w:rsid w:val="00156659"/>
    <w:rsid w:val="00157F50"/>
    <w:rsid w:val="0016210A"/>
    <w:rsid w:val="00162A72"/>
    <w:rsid w:val="001661B9"/>
    <w:rsid w:val="00166E55"/>
    <w:rsid w:val="00171E19"/>
    <w:rsid w:val="00172017"/>
    <w:rsid w:val="00172E87"/>
    <w:rsid w:val="001730A1"/>
    <w:rsid w:val="00173365"/>
    <w:rsid w:val="00180619"/>
    <w:rsid w:val="00182288"/>
    <w:rsid w:val="00184402"/>
    <w:rsid w:val="001874E7"/>
    <w:rsid w:val="00193F00"/>
    <w:rsid w:val="00195F75"/>
    <w:rsid w:val="00197BC8"/>
    <w:rsid w:val="001A34F2"/>
    <w:rsid w:val="001A4CF5"/>
    <w:rsid w:val="001B2B9F"/>
    <w:rsid w:val="001B2DF4"/>
    <w:rsid w:val="001B676B"/>
    <w:rsid w:val="001B7928"/>
    <w:rsid w:val="001C0608"/>
    <w:rsid w:val="001C3E05"/>
    <w:rsid w:val="001C58F2"/>
    <w:rsid w:val="001C5EEC"/>
    <w:rsid w:val="001D0220"/>
    <w:rsid w:val="001D19B0"/>
    <w:rsid w:val="001E1BE3"/>
    <w:rsid w:val="001E1CFB"/>
    <w:rsid w:val="001E6786"/>
    <w:rsid w:val="001E7ECC"/>
    <w:rsid w:val="001F2C80"/>
    <w:rsid w:val="001F2F87"/>
    <w:rsid w:val="001F43BD"/>
    <w:rsid w:val="001F66EE"/>
    <w:rsid w:val="0020332D"/>
    <w:rsid w:val="00206E0B"/>
    <w:rsid w:val="00210630"/>
    <w:rsid w:val="002134DA"/>
    <w:rsid w:val="002147A2"/>
    <w:rsid w:val="00226BEF"/>
    <w:rsid w:val="0023072A"/>
    <w:rsid w:val="00232C9E"/>
    <w:rsid w:val="0023344B"/>
    <w:rsid w:val="00242616"/>
    <w:rsid w:val="00242BED"/>
    <w:rsid w:val="00260B31"/>
    <w:rsid w:val="002621F3"/>
    <w:rsid w:val="00265670"/>
    <w:rsid w:val="002656B3"/>
    <w:rsid w:val="0027068F"/>
    <w:rsid w:val="00272965"/>
    <w:rsid w:val="00274E9D"/>
    <w:rsid w:val="00280F7A"/>
    <w:rsid w:val="00283611"/>
    <w:rsid w:val="00283FAA"/>
    <w:rsid w:val="00286767"/>
    <w:rsid w:val="0028690C"/>
    <w:rsid w:val="00286942"/>
    <w:rsid w:val="00292D50"/>
    <w:rsid w:val="002A2E32"/>
    <w:rsid w:val="002A3828"/>
    <w:rsid w:val="002A5A2B"/>
    <w:rsid w:val="002A64BD"/>
    <w:rsid w:val="002A6D6E"/>
    <w:rsid w:val="002A70E6"/>
    <w:rsid w:val="002B1C0D"/>
    <w:rsid w:val="002B4004"/>
    <w:rsid w:val="002B5611"/>
    <w:rsid w:val="002B6AE2"/>
    <w:rsid w:val="002C34EE"/>
    <w:rsid w:val="002C4399"/>
    <w:rsid w:val="002D061D"/>
    <w:rsid w:val="002D0712"/>
    <w:rsid w:val="002D15DB"/>
    <w:rsid w:val="002D3008"/>
    <w:rsid w:val="002D46CD"/>
    <w:rsid w:val="002D63B3"/>
    <w:rsid w:val="002D7090"/>
    <w:rsid w:val="002E2991"/>
    <w:rsid w:val="002E3DAE"/>
    <w:rsid w:val="002F009A"/>
    <w:rsid w:val="0030421C"/>
    <w:rsid w:val="003101E6"/>
    <w:rsid w:val="00310C50"/>
    <w:rsid w:val="0031238B"/>
    <w:rsid w:val="0031515F"/>
    <w:rsid w:val="0031563F"/>
    <w:rsid w:val="00315D1F"/>
    <w:rsid w:val="00315FD0"/>
    <w:rsid w:val="003168CB"/>
    <w:rsid w:val="00317905"/>
    <w:rsid w:val="003211C1"/>
    <w:rsid w:val="0032178A"/>
    <w:rsid w:val="00323B05"/>
    <w:rsid w:val="0032536E"/>
    <w:rsid w:val="00326232"/>
    <w:rsid w:val="00331C1E"/>
    <w:rsid w:val="003328D6"/>
    <w:rsid w:val="00333AD3"/>
    <w:rsid w:val="00341079"/>
    <w:rsid w:val="00341D33"/>
    <w:rsid w:val="00342585"/>
    <w:rsid w:val="00346F69"/>
    <w:rsid w:val="0034781D"/>
    <w:rsid w:val="00350F3E"/>
    <w:rsid w:val="00351546"/>
    <w:rsid w:val="00356B5D"/>
    <w:rsid w:val="00362296"/>
    <w:rsid w:val="00362629"/>
    <w:rsid w:val="003628BB"/>
    <w:rsid w:val="00365A33"/>
    <w:rsid w:val="00365B9E"/>
    <w:rsid w:val="0036675C"/>
    <w:rsid w:val="00373D84"/>
    <w:rsid w:val="00376A64"/>
    <w:rsid w:val="00383ADB"/>
    <w:rsid w:val="003870C1"/>
    <w:rsid w:val="003912C2"/>
    <w:rsid w:val="0039166B"/>
    <w:rsid w:val="003928EB"/>
    <w:rsid w:val="003959F1"/>
    <w:rsid w:val="00397865"/>
    <w:rsid w:val="003A1DEA"/>
    <w:rsid w:val="003A2179"/>
    <w:rsid w:val="003A21D3"/>
    <w:rsid w:val="003A7DB4"/>
    <w:rsid w:val="003B0280"/>
    <w:rsid w:val="003B0668"/>
    <w:rsid w:val="003B20EC"/>
    <w:rsid w:val="003B672B"/>
    <w:rsid w:val="003B7E1E"/>
    <w:rsid w:val="003C166C"/>
    <w:rsid w:val="003C3A8C"/>
    <w:rsid w:val="003D1DC6"/>
    <w:rsid w:val="003D2F1F"/>
    <w:rsid w:val="003D7AC3"/>
    <w:rsid w:val="003E53CE"/>
    <w:rsid w:val="003F3213"/>
    <w:rsid w:val="003F4947"/>
    <w:rsid w:val="003F4E85"/>
    <w:rsid w:val="003F6D4D"/>
    <w:rsid w:val="004008AD"/>
    <w:rsid w:val="004022D2"/>
    <w:rsid w:val="00410620"/>
    <w:rsid w:val="00410A23"/>
    <w:rsid w:val="004114B2"/>
    <w:rsid w:val="00420C80"/>
    <w:rsid w:val="00421873"/>
    <w:rsid w:val="00423B77"/>
    <w:rsid w:val="00423DEF"/>
    <w:rsid w:val="00423F46"/>
    <w:rsid w:val="00427C90"/>
    <w:rsid w:val="00433D3C"/>
    <w:rsid w:val="00434C09"/>
    <w:rsid w:val="004369CF"/>
    <w:rsid w:val="0044393F"/>
    <w:rsid w:val="0044448C"/>
    <w:rsid w:val="0044570A"/>
    <w:rsid w:val="00455A87"/>
    <w:rsid w:val="0045790C"/>
    <w:rsid w:val="00457C07"/>
    <w:rsid w:val="0046228E"/>
    <w:rsid w:val="0046350D"/>
    <w:rsid w:val="004656F9"/>
    <w:rsid w:val="00466F01"/>
    <w:rsid w:val="00471106"/>
    <w:rsid w:val="0047732E"/>
    <w:rsid w:val="00481A9E"/>
    <w:rsid w:val="00482EAF"/>
    <w:rsid w:val="00485F6D"/>
    <w:rsid w:val="00491C94"/>
    <w:rsid w:val="004969A4"/>
    <w:rsid w:val="00497816"/>
    <w:rsid w:val="004A24AE"/>
    <w:rsid w:val="004A3F6E"/>
    <w:rsid w:val="004A61BB"/>
    <w:rsid w:val="004A669F"/>
    <w:rsid w:val="004B4AC1"/>
    <w:rsid w:val="004B705D"/>
    <w:rsid w:val="004C050A"/>
    <w:rsid w:val="004C2C59"/>
    <w:rsid w:val="004C34DE"/>
    <w:rsid w:val="004C6D17"/>
    <w:rsid w:val="004D091C"/>
    <w:rsid w:val="004D2695"/>
    <w:rsid w:val="004D26B3"/>
    <w:rsid w:val="004D3240"/>
    <w:rsid w:val="004D5E51"/>
    <w:rsid w:val="004D6914"/>
    <w:rsid w:val="004E08C9"/>
    <w:rsid w:val="004E0B2F"/>
    <w:rsid w:val="004E162C"/>
    <w:rsid w:val="004E3622"/>
    <w:rsid w:val="004E3B47"/>
    <w:rsid w:val="004E62AD"/>
    <w:rsid w:val="004E7654"/>
    <w:rsid w:val="004F0364"/>
    <w:rsid w:val="004F5994"/>
    <w:rsid w:val="004F7195"/>
    <w:rsid w:val="00501FB5"/>
    <w:rsid w:val="00502ACF"/>
    <w:rsid w:val="00503B60"/>
    <w:rsid w:val="0050647C"/>
    <w:rsid w:val="00510D5C"/>
    <w:rsid w:val="00512DAF"/>
    <w:rsid w:val="00512EF9"/>
    <w:rsid w:val="00514D4C"/>
    <w:rsid w:val="005219EF"/>
    <w:rsid w:val="0052650B"/>
    <w:rsid w:val="00526646"/>
    <w:rsid w:val="00527BBD"/>
    <w:rsid w:val="00531B80"/>
    <w:rsid w:val="0053568B"/>
    <w:rsid w:val="00536039"/>
    <w:rsid w:val="00540861"/>
    <w:rsid w:val="00541981"/>
    <w:rsid w:val="00546A38"/>
    <w:rsid w:val="00546EFF"/>
    <w:rsid w:val="005571DB"/>
    <w:rsid w:val="00560F95"/>
    <w:rsid w:val="0056262D"/>
    <w:rsid w:val="005654B1"/>
    <w:rsid w:val="00567101"/>
    <w:rsid w:val="0057259D"/>
    <w:rsid w:val="005727A6"/>
    <w:rsid w:val="00575A8D"/>
    <w:rsid w:val="00575FD2"/>
    <w:rsid w:val="00576432"/>
    <w:rsid w:val="00580509"/>
    <w:rsid w:val="00580A42"/>
    <w:rsid w:val="005863FB"/>
    <w:rsid w:val="00587267"/>
    <w:rsid w:val="005963CC"/>
    <w:rsid w:val="005A040D"/>
    <w:rsid w:val="005A0D70"/>
    <w:rsid w:val="005A3A4B"/>
    <w:rsid w:val="005B12CF"/>
    <w:rsid w:val="005B1412"/>
    <w:rsid w:val="005B174A"/>
    <w:rsid w:val="005B1B6C"/>
    <w:rsid w:val="005B5889"/>
    <w:rsid w:val="005C172F"/>
    <w:rsid w:val="005C3F8A"/>
    <w:rsid w:val="005C4860"/>
    <w:rsid w:val="005C5F38"/>
    <w:rsid w:val="005C6539"/>
    <w:rsid w:val="005C6D04"/>
    <w:rsid w:val="005D0E1C"/>
    <w:rsid w:val="005D4480"/>
    <w:rsid w:val="005E0598"/>
    <w:rsid w:val="005E153C"/>
    <w:rsid w:val="005E1618"/>
    <w:rsid w:val="005E2EDC"/>
    <w:rsid w:val="005E67B7"/>
    <w:rsid w:val="005E7A72"/>
    <w:rsid w:val="005F27F3"/>
    <w:rsid w:val="005F2DED"/>
    <w:rsid w:val="005F7075"/>
    <w:rsid w:val="005F788E"/>
    <w:rsid w:val="005F7EE2"/>
    <w:rsid w:val="006001D8"/>
    <w:rsid w:val="00603171"/>
    <w:rsid w:val="00605ED8"/>
    <w:rsid w:val="00606C88"/>
    <w:rsid w:val="0061151E"/>
    <w:rsid w:val="006119A0"/>
    <w:rsid w:val="00611AE7"/>
    <w:rsid w:val="00612385"/>
    <w:rsid w:val="0061259B"/>
    <w:rsid w:val="006133B5"/>
    <w:rsid w:val="00616167"/>
    <w:rsid w:val="00621340"/>
    <w:rsid w:val="00624EB3"/>
    <w:rsid w:val="00630F54"/>
    <w:rsid w:val="006326EE"/>
    <w:rsid w:val="0064127B"/>
    <w:rsid w:val="00641971"/>
    <w:rsid w:val="0064245E"/>
    <w:rsid w:val="00644ACF"/>
    <w:rsid w:val="00644DC8"/>
    <w:rsid w:val="00651E91"/>
    <w:rsid w:val="006630CC"/>
    <w:rsid w:val="0066610D"/>
    <w:rsid w:val="00666740"/>
    <w:rsid w:val="00670B7A"/>
    <w:rsid w:val="00670FAC"/>
    <w:rsid w:val="006726FE"/>
    <w:rsid w:val="00673222"/>
    <w:rsid w:val="006755E0"/>
    <w:rsid w:val="00675FA2"/>
    <w:rsid w:val="00676B06"/>
    <w:rsid w:val="006803A2"/>
    <w:rsid w:val="00680483"/>
    <w:rsid w:val="00682B5D"/>
    <w:rsid w:val="00682D26"/>
    <w:rsid w:val="00683DA0"/>
    <w:rsid w:val="00684BF9"/>
    <w:rsid w:val="00690254"/>
    <w:rsid w:val="006956F2"/>
    <w:rsid w:val="00696922"/>
    <w:rsid w:val="006977D0"/>
    <w:rsid w:val="006A49ED"/>
    <w:rsid w:val="006B02A0"/>
    <w:rsid w:val="006B278C"/>
    <w:rsid w:val="006B70D6"/>
    <w:rsid w:val="006C1BB6"/>
    <w:rsid w:val="006C5CB7"/>
    <w:rsid w:val="006C5F90"/>
    <w:rsid w:val="006C6D28"/>
    <w:rsid w:val="006C743F"/>
    <w:rsid w:val="006C75DB"/>
    <w:rsid w:val="006D0C22"/>
    <w:rsid w:val="006D0C4B"/>
    <w:rsid w:val="006D53EB"/>
    <w:rsid w:val="006E2AFB"/>
    <w:rsid w:val="006E40D9"/>
    <w:rsid w:val="006E5BA1"/>
    <w:rsid w:val="006F049E"/>
    <w:rsid w:val="006F2284"/>
    <w:rsid w:val="006F325E"/>
    <w:rsid w:val="006F49D8"/>
    <w:rsid w:val="00700A9A"/>
    <w:rsid w:val="0070217C"/>
    <w:rsid w:val="007021CE"/>
    <w:rsid w:val="00702936"/>
    <w:rsid w:val="00702DC7"/>
    <w:rsid w:val="00710266"/>
    <w:rsid w:val="00713C0C"/>
    <w:rsid w:val="00717828"/>
    <w:rsid w:val="00720B8C"/>
    <w:rsid w:val="007313D7"/>
    <w:rsid w:val="00732007"/>
    <w:rsid w:val="00734B4D"/>
    <w:rsid w:val="00740775"/>
    <w:rsid w:val="00742C5D"/>
    <w:rsid w:val="00743A50"/>
    <w:rsid w:val="00745099"/>
    <w:rsid w:val="00751881"/>
    <w:rsid w:val="00751CBD"/>
    <w:rsid w:val="0075450F"/>
    <w:rsid w:val="0075480E"/>
    <w:rsid w:val="00754F13"/>
    <w:rsid w:val="00757A6D"/>
    <w:rsid w:val="007632C9"/>
    <w:rsid w:val="0076529C"/>
    <w:rsid w:val="00765764"/>
    <w:rsid w:val="00767957"/>
    <w:rsid w:val="007700FE"/>
    <w:rsid w:val="0077028C"/>
    <w:rsid w:val="00773D24"/>
    <w:rsid w:val="00777FEC"/>
    <w:rsid w:val="00780C12"/>
    <w:rsid w:val="0078108A"/>
    <w:rsid w:val="00785661"/>
    <w:rsid w:val="00791716"/>
    <w:rsid w:val="00793C94"/>
    <w:rsid w:val="007A365F"/>
    <w:rsid w:val="007A4889"/>
    <w:rsid w:val="007A4E3C"/>
    <w:rsid w:val="007A694B"/>
    <w:rsid w:val="007A74CD"/>
    <w:rsid w:val="007B2FDB"/>
    <w:rsid w:val="007B37C7"/>
    <w:rsid w:val="007B6222"/>
    <w:rsid w:val="007B69E9"/>
    <w:rsid w:val="007C483A"/>
    <w:rsid w:val="007C535A"/>
    <w:rsid w:val="007D061E"/>
    <w:rsid w:val="007D2F84"/>
    <w:rsid w:val="007D4936"/>
    <w:rsid w:val="007D5BD7"/>
    <w:rsid w:val="007D7D97"/>
    <w:rsid w:val="007E2663"/>
    <w:rsid w:val="007F0310"/>
    <w:rsid w:val="007F48D5"/>
    <w:rsid w:val="007F571D"/>
    <w:rsid w:val="007F5F49"/>
    <w:rsid w:val="007F6954"/>
    <w:rsid w:val="007F6B68"/>
    <w:rsid w:val="008006E0"/>
    <w:rsid w:val="00802543"/>
    <w:rsid w:val="0080390F"/>
    <w:rsid w:val="00805A05"/>
    <w:rsid w:val="00810A21"/>
    <w:rsid w:val="00811DEA"/>
    <w:rsid w:val="00821212"/>
    <w:rsid w:val="00821692"/>
    <w:rsid w:val="00822D87"/>
    <w:rsid w:val="00823B82"/>
    <w:rsid w:val="00824B3B"/>
    <w:rsid w:val="00825C2C"/>
    <w:rsid w:val="00826785"/>
    <w:rsid w:val="0083144B"/>
    <w:rsid w:val="008354BD"/>
    <w:rsid w:val="008411FC"/>
    <w:rsid w:val="0084595E"/>
    <w:rsid w:val="00852D13"/>
    <w:rsid w:val="00853878"/>
    <w:rsid w:val="0085515C"/>
    <w:rsid w:val="008577C9"/>
    <w:rsid w:val="0086021D"/>
    <w:rsid w:val="008607A0"/>
    <w:rsid w:val="00861FE1"/>
    <w:rsid w:val="00862019"/>
    <w:rsid w:val="00863F09"/>
    <w:rsid w:val="00866871"/>
    <w:rsid w:val="008740F4"/>
    <w:rsid w:val="00874A46"/>
    <w:rsid w:val="00874CD8"/>
    <w:rsid w:val="0087643C"/>
    <w:rsid w:val="00877F44"/>
    <w:rsid w:val="00883711"/>
    <w:rsid w:val="00883B8F"/>
    <w:rsid w:val="00887181"/>
    <w:rsid w:val="008906F9"/>
    <w:rsid w:val="008979CA"/>
    <w:rsid w:val="008A136E"/>
    <w:rsid w:val="008A253A"/>
    <w:rsid w:val="008A64E0"/>
    <w:rsid w:val="008A66E6"/>
    <w:rsid w:val="008A6C67"/>
    <w:rsid w:val="008A7F70"/>
    <w:rsid w:val="008B1421"/>
    <w:rsid w:val="008B44EA"/>
    <w:rsid w:val="008B479E"/>
    <w:rsid w:val="008B5DAF"/>
    <w:rsid w:val="008B6A7B"/>
    <w:rsid w:val="008C0548"/>
    <w:rsid w:val="008C0586"/>
    <w:rsid w:val="008C297C"/>
    <w:rsid w:val="008C33E6"/>
    <w:rsid w:val="008C6D86"/>
    <w:rsid w:val="008C7D91"/>
    <w:rsid w:val="008D270C"/>
    <w:rsid w:val="008D303E"/>
    <w:rsid w:val="008D3687"/>
    <w:rsid w:val="008E1205"/>
    <w:rsid w:val="008E745F"/>
    <w:rsid w:val="008F0555"/>
    <w:rsid w:val="008F41C0"/>
    <w:rsid w:val="008F5EF8"/>
    <w:rsid w:val="008F5FFD"/>
    <w:rsid w:val="009031AC"/>
    <w:rsid w:val="009063EA"/>
    <w:rsid w:val="00906649"/>
    <w:rsid w:val="00914681"/>
    <w:rsid w:val="0091579D"/>
    <w:rsid w:val="009176AC"/>
    <w:rsid w:val="00920FEA"/>
    <w:rsid w:val="00921E43"/>
    <w:rsid w:val="00925DDC"/>
    <w:rsid w:val="00925FE2"/>
    <w:rsid w:val="009278D5"/>
    <w:rsid w:val="00930DD8"/>
    <w:rsid w:val="00931644"/>
    <w:rsid w:val="009331E1"/>
    <w:rsid w:val="00934DE4"/>
    <w:rsid w:val="00935F0A"/>
    <w:rsid w:val="009404B4"/>
    <w:rsid w:val="00940E9B"/>
    <w:rsid w:val="00944421"/>
    <w:rsid w:val="009446D1"/>
    <w:rsid w:val="00946C17"/>
    <w:rsid w:val="0094798A"/>
    <w:rsid w:val="00950D91"/>
    <w:rsid w:val="009520F1"/>
    <w:rsid w:val="009625CC"/>
    <w:rsid w:val="009626CB"/>
    <w:rsid w:val="00962AEF"/>
    <w:rsid w:val="00963A09"/>
    <w:rsid w:val="0096459F"/>
    <w:rsid w:val="00964605"/>
    <w:rsid w:val="0096672E"/>
    <w:rsid w:val="00970AA9"/>
    <w:rsid w:val="009718D3"/>
    <w:rsid w:val="00973A83"/>
    <w:rsid w:val="0097452F"/>
    <w:rsid w:val="00977096"/>
    <w:rsid w:val="009814AB"/>
    <w:rsid w:val="009831B2"/>
    <w:rsid w:val="00983243"/>
    <w:rsid w:val="0098618A"/>
    <w:rsid w:val="00986D71"/>
    <w:rsid w:val="00986F36"/>
    <w:rsid w:val="00993D04"/>
    <w:rsid w:val="00995A15"/>
    <w:rsid w:val="009A5219"/>
    <w:rsid w:val="009B4C0C"/>
    <w:rsid w:val="009B5045"/>
    <w:rsid w:val="009B6018"/>
    <w:rsid w:val="009C063C"/>
    <w:rsid w:val="009C091B"/>
    <w:rsid w:val="009C12DA"/>
    <w:rsid w:val="009C26B2"/>
    <w:rsid w:val="009C5006"/>
    <w:rsid w:val="009C57C4"/>
    <w:rsid w:val="009C63F1"/>
    <w:rsid w:val="009D065A"/>
    <w:rsid w:val="009D0E22"/>
    <w:rsid w:val="009D48D7"/>
    <w:rsid w:val="009D5D1F"/>
    <w:rsid w:val="009E3CEF"/>
    <w:rsid w:val="009E5BCB"/>
    <w:rsid w:val="009E7F1A"/>
    <w:rsid w:val="009F0F60"/>
    <w:rsid w:val="009F1D3B"/>
    <w:rsid w:val="009F2F1B"/>
    <w:rsid w:val="009F4CAE"/>
    <w:rsid w:val="00A01F52"/>
    <w:rsid w:val="00A05370"/>
    <w:rsid w:val="00A10A73"/>
    <w:rsid w:val="00A13EE4"/>
    <w:rsid w:val="00A16D6D"/>
    <w:rsid w:val="00A200BE"/>
    <w:rsid w:val="00A2187B"/>
    <w:rsid w:val="00A21EC8"/>
    <w:rsid w:val="00A22EFF"/>
    <w:rsid w:val="00A26F89"/>
    <w:rsid w:val="00A34650"/>
    <w:rsid w:val="00A36464"/>
    <w:rsid w:val="00A36CAB"/>
    <w:rsid w:val="00A406BC"/>
    <w:rsid w:val="00A41B7F"/>
    <w:rsid w:val="00A41D30"/>
    <w:rsid w:val="00A46442"/>
    <w:rsid w:val="00A46D8D"/>
    <w:rsid w:val="00A509A4"/>
    <w:rsid w:val="00A54663"/>
    <w:rsid w:val="00A552AC"/>
    <w:rsid w:val="00A56B87"/>
    <w:rsid w:val="00A570B1"/>
    <w:rsid w:val="00A71122"/>
    <w:rsid w:val="00A718D1"/>
    <w:rsid w:val="00A72795"/>
    <w:rsid w:val="00A74DDF"/>
    <w:rsid w:val="00A762A7"/>
    <w:rsid w:val="00A7700C"/>
    <w:rsid w:val="00A81B59"/>
    <w:rsid w:val="00A81B73"/>
    <w:rsid w:val="00A82205"/>
    <w:rsid w:val="00A868B5"/>
    <w:rsid w:val="00A91776"/>
    <w:rsid w:val="00A94747"/>
    <w:rsid w:val="00A94755"/>
    <w:rsid w:val="00A96A07"/>
    <w:rsid w:val="00AA0AF5"/>
    <w:rsid w:val="00AA0D83"/>
    <w:rsid w:val="00AA1D31"/>
    <w:rsid w:val="00AA3769"/>
    <w:rsid w:val="00AA5CB5"/>
    <w:rsid w:val="00AA68BE"/>
    <w:rsid w:val="00AB27CB"/>
    <w:rsid w:val="00AB3550"/>
    <w:rsid w:val="00AC0141"/>
    <w:rsid w:val="00AC0571"/>
    <w:rsid w:val="00AC085D"/>
    <w:rsid w:val="00AC0F53"/>
    <w:rsid w:val="00AC132A"/>
    <w:rsid w:val="00AC1844"/>
    <w:rsid w:val="00AC4A0F"/>
    <w:rsid w:val="00AD1BEF"/>
    <w:rsid w:val="00AD1D40"/>
    <w:rsid w:val="00AE13EE"/>
    <w:rsid w:val="00AE4D9A"/>
    <w:rsid w:val="00AE5D7B"/>
    <w:rsid w:val="00AE5FFE"/>
    <w:rsid w:val="00AF00F8"/>
    <w:rsid w:val="00AF062A"/>
    <w:rsid w:val="00AF1966"/>
    <w:rsid w:val="00AF1FAF"/>
    <w:rsid w:val="00AF2C4F"/>
    <w:rsid w:val="00AF4165"/>
    <w:rsid w:val="00AF4D5D"/>
    <w:rsid w:val="00B046A3"/>
    <w:rsid w:val="00B111D3"/>
    <w:rsid w:val="00B140CC"/>
    <w:rsid w:val="00B14731"/>
    <w:rsid w:val="00B14F3F"/>
    <w:rsid w:val="00B15000"/>
    <w:rsid w:val="00B162F5"/>
    <w:rsid w:val="00B1741D"/>
    <w:rsid w:val="00B2027B"/>
    <w:rsid w:val="00B27F32"/>
    <w:rsid w:val="00B31BD9"/>
    <w:rsid w:val="00B35984"/>
    <w:rsid w:val="00B40A0F"/>
    <w:rsid w:val="00B41865"/>
    <w:rsid w:val="00B41942"/>
    <w:rsid w:val="00B42CBF"/>
    <w:rsid w:val="00B458CE"/>
    <w:rsid w:val="00B4698F"/>
    <w:rsid w:val="00B51644"/>
    <w:rsid w:val="00B54BB8"/>
    <w:rsid w:val="00B55BC8"/>
    <w:rsid w:val="00B56622"/>
    <w:rsid w:val="00B57967"/>
    <w:rsid w:val="00B6008D"/>
    <w:rsid w:val="00B606CF"/>
    <w:rsid w:val="00B60A38"/>
    <w:rsid w:val="00B66783"/>
    <w:rsid w:val="00B740AC"/>
    <w:rsid w:val="00B7675A"/>
    <w:rsid w:val="00B76A2F"/>
    <w:rsid w:val="00B77A70"/>
    <w:rsid w:val="00B82627"/>
    <w:rsid w:val="00B85ABD"/>
    <w:rsid w:val="00B87A07"/>
    <w:rsid w:val="00B932CF"/>
    <w:rsid w:val="00B936EB"/>
    <w:rsid w:val="00B94D87"/>
    <w:rsid w:val="00B955E1"/>
    <w:rsid w:val="00B956F5"/>
    <w:rsid w:val="00B9684D"/>
    <w:rsid w:val="00BA3B72"/>
    <w:rsid w:val="00BA44AF"/>
    <w:rsid w:val="00BA4BA9"/>
    <w:rsid w:val="00BA4CCD"/>
    <w:rsid w:val="00BA7DB9"/>
    <w:rsid w:val="00BB028A"/>
    <w:rsid w:val="00BB0F42"/>
    <w:rsid w:val="00BB4EF7"/>
    <w:rsid w:val="00BC254B"/>
    <w:rsid w:val="00BC57D3"/>
    <w:rsid w:val="00BD3C17"/>
    <w:rsid w:val="00BD557E"/>
    <w:rsid w:val="00BE0AB1"/>
    <w:rsid w:val="00BE3F7E"/>
    <w:rsid w:val="00BE3FCA"/>
    <w:rsid w:val="00BF54F3"/>
    <w:rsid w:val="00BF641E"/>
    <w:rsid w:val="00BF66E5"/>
    <w:rsid w:val="00BF75DC"/>
    <w:rsid w:val="00C01748"/>
    <w:rsid w:val="00C027EF"/>
    <w:rsid w:val="00C11FAE"/>
    <w:rsid w:val="00C12C51"/>
    <w:rsid w:val="00C15F03"/>
    <w:rsid w:val="00C15FFF"/>
    <w:rsid w:val="00C2002E"/>
    <w:rsid w:val="00C2075D"/>
    <w:rsid w:val="00C23CB6"/>
    <w:rsid w:val="00C2724A"/>
    <w:rsid w:val="00C27906"/>
    <w:rsid w:val="00C27DC6"/>
    <w:rsid w:val="00C31705"/>
    <w:rsid w:val="00C31D22"/>
    <w:rsid w:val="00C33E40"/>
    <w:rsid w:val="00C34B00"/>
    <w:rsid w:val="00C37683"/>
    <w:rsid w:val="00C45860"/>
    <w:rsid w:val="00C5047B"/>
    <w:rsid w:val="00C5096D"/>
    <w:rsid w:val="00C53585"/>
    <w:rsid w:val="00C53B27"/>
    <w:rsid w:val="00C54364"/>
    <w:rsid w:val="00C54647"/>
    <w:rsid w:val="00C55CFE"/>
    <w:rsid w:val="00C60C3F"/>
    <w:rsid w:val="00C61155"/>
    <w:rsid w:val="00C71F7C"/>
    <w:rsid w:val="00C7294C"/>
    <w:rsid w:val="00C74AB3"/>
    <w:rsid w:val="00C810DD"/>
    <w:rsid w:val="00C81FA7"/>
    <w:rsid w:val="00C82219"/>
    <w:rsid w:val="00C8232F"/>
    <w:rsid w:val="00C83EEB"/>
    <w:rsid w:val="00C84D66"/>
    <w:rsid w:val="00C85010"/>
    <w:rsid w:val="00C850BF"/>
    <w:rsid w:val="00C86BFB"/>
    <w:rsid w:val="00C915DD"/>
    <w:rsid w:val="00C94AEA"/>
    <w:rsid w:val="00C94EE0"/>
    <w:rsid w:val="00CA0F57"/>
    <w:rsid w:val="00CA142F"/>
    <w:rsid w:val="00CA38A1"/>
    <w:rsid w:val="00CA3A23"/>
    <w:rsid w:val="00CA6A2E"/>
    <w:rsid w:val="00CB0BCB"/>
    <w:rsid w:val="00CB1ACE"/>
    <w:rsid w:val="00CB1BDB"/>
    <w:rsid w:val="00CB542D"/>
    <w:rsid w:val="00CC0325"/>
    <w:rsid w:val="00CC06CA"/>
    <w:rsid w:val="00CC2C0B"/>
    <w:rsid w:val="00CC51F8"/>
    <w:rsid w:val="00CC6F10"/>
    <w:rsid w:val="00CC786E"/>
    <w:rsid w:val="00CC7AAB"/>
    <w:rsid w:val="00CD1D51"/>
    <w:rsid w:val="00CD3A23"/>
    <w:rsid w:val="00CD3A6D"/>
    <w:rsid w:val="00CD4BB6"/>
    <w:rsid w:val="00CE1A7C"/>
    <w:rsid w:val="00CE3EB9"/>
    <w:rsid w:val="00CE5284"/>
    <w:rsid w:val="00CF0229"/>
    <w:rsid w:val="00CF148E"/>
    <w:rsid w:val="00CF6B2D"/>
    <w:rsid w:val="00D00A95"/>
    <w:rsid w:val="00D027F1"/>
    <w:rsid w:val="00D03146"/>
    <w:rsid w:val="00D03D21"/>
    <w:rsid w:val="00D065C6"/>
    <w:rsid w:val="00D07589"/>
    <w:rsid w:val="00D110C5"/>
    <w:rsid w:val="00D11145"/>
    <w:rsid w:val="00D12476"/>
    <w:rsid w:val="00D14453"/>
    <w:rsid w:val="00D15B58"/>
    <w:rsid w:val="00D17774"/>
    <w:rsid w:val="00D23540"/>
    <w:rsid w:val="00D23E40"/>
    <w:rsid w:val="00D23FD2"/>
    <w:rsid w:val="00D31852"/>
    <w:rsid w:val="00D3654E"/>
    <w:rsid w:val="00D41BBB"/>
    <w:rsid w:val="00D43D06"/>
    <w:rsid w:val="00D4514C"/>
    <w:rsid w:val="00D471DC"/>
    <w:rsid w:val="00D474B6"/>
    <w:rsid w:val="00D50684"/>
    <w:rsid w:val="00D518AC"/>
    <w:rsid w:val="00D54D2C"/>
    <w:rsid w:val="00D60E75"/>
    <w:rsid w:val="00D645AF"/>
    <w:rsid w:val="00D6465C"/>
    <w:rsid w:val="00D67533"/>
    <w:rsid w:val="00D67F65"/>
    <w:rsid w:val="00D709EF"/>
    <w:rsid w:val="00D728B1"/>
    <w:rsid w:val="00D73B90"/>
    <w:rsid w:val="00D805D5"/>
    <w:rsid w:val="00D83308"/>
    <w:rsid w:val="00D9020F"/>
    <w:rsid w:val="00D937F3"/>
    <w:rsid w:val="00D93CC5"/>
    <w:rsid w:val="00D94EDE"/>
    <w:rsid w:val="00D95067"/>
    <w:rsid w:val="00D9635B"/>
    <w:rsid w:val="00DA1712"/>
    <w:rsid w:val="00DA5DF4"/>
    <w:rsid w:val="00DA799A"/>
    <w:rsid w:val="00DB00C5"/>
    <w:rsid w:val="00DB080C"/>
    <w:rsid w:val="00DB0E4B"/>
    <w:rsid w:val="00DB2A74"/>
    <w:rsid w:val="00DB450D"/>
    <w:rsid w:val="00DB6A56"/>
    <w:rsid w:val="00DC2E52"/>
    <w:rsid w:val="00DC333C"/>
    <w:rsid w:val="00DC5F24"/>
    <w:rsid w:val="00DC7807"/>
    <w:rsid w:val="00DC7FB6"/>
    <w:rsid w:val="00DD0BCC"/>
    <w:rsid w:val="00DD0F18"/>
    <w:rsid w:val="00DD33C7"/>
    <w:rsid w:val="00DD55F6"/>
    <w:rsid w:val="00DD574C"/>
    <w:rsid w:val="00DD6026"/>
    <w:rsid w:val="00DD7F11"/>
    <w:rsid w:val="00DE28E1"/>
    <w:rsid w:val="00DE2C75"/>
    <w:rsid w:val="00DE7893"/>
    <w:rsid w:val="00DF0468"/>
    <w:rsid w:val="00DF0EAA"/>
    <w:rsid w:val="00DF203C"/>
    <w:rsid w:val="00DF23D2"/>
    <w:rsid w:val="00DF3345"/>
    <w:rsid w:val="00DF5025"/>
    <w:rsid w:val="00DF7FC0"/>
    <w:rsid w:val="00E01459"/>
    <w:rsid w:val="00E031DE"/>
    <w:rsid w:val="00E03430"/>
    <w:rsid w:val="00E0679B"/>
    <w:rsid w:val="00E11EEF"/>
    <w:rsid w:val="00E13921"/>
    <w:rsid w:val="00E13A4D"/>
    <w:rsid w:val="00E13BB9"/>
    <w:rsid w:val="00E13D38"/>
    <w:rsid w:val="00E16C36"/>
    <w:rsid w:val="00E2053E"/>
    <w:rsid w:val="00E30AE3"/>
    <w:rsid w:val="00E31C59"/>
    <w:rsid w:val="00E330A3"/>
    <w:rsid w:val="00E3407E"/>
    <w:rsid w:val="00E35B68"/>
    <w:rsid w:val="00E36259"/>
    <w:rsid w:val="00E4345F"/>
    <w:rsid w:val="00E46DF8"/>
    <w:rsid w:val="00E47030"/>
    <w:rsid w:val="00E55EA3"/>
    <w:rsid w:val="00E616E7"/>
    <w:rsid w:val="00E62AC9"/>
    <w:rsid w:val="00E63A71"/>
    <w:rsid w:val="00E67D5A"/>
    <w:rsid w:val="00E723E6"/>
    <w:rsid w:val="00E72B97"/>
    <w:rsid w:val="00E748CE"/>
    <w:rsid w:val="00E768F4"/>
    <w:rsid w:val="00E7730B"/>
    <w:rsid w:val="00E80D47"/>
    <w:rsid w:val="00E817E6"/>
    <w:rsid w:val="00E8290B"/>
    <w:rsid w:val="00E83222"/>
    <w:rsid w:val="00E84A4A"/>
    <w:rsid w:val="00E84B4B"/>
    <w:rsid w:val="00E856C5"/>
    <w:rsid w:val="00E85C6A"/>
    <w:rsid w:val="00E86F84"/>
    <w:rsid w:val="00E92D6E"/>
    <w:rsid w:val="00EA70E3"/>
    <w:rsid w:val="00EA7AA4"/>
    <w:rsid w:val="00EB11B1"/>
    <w:rsid w:val="00EB5A52"/>
    <w:rsid w:val="00EC168B"/>
    <w:rsid w:val="00ED4973"/>
    <w:rsid w:val="00ED6C90"/>
    <w:rsid w:val="00ED778A"/>
    <w:rsid w:val="00EE18A8"/>
    <w:rsid w:val="00EE1E04"/>
    <w:rsid w:val="00EE1E6F"/>
    <w:rsid w:val="00EE4830"/>
    <w:rsid w:val="00EF0648"/>
    <w:rsid w:val="00EF3F30"/>
    <w:rsid w:val="00F011C6"/>
    <w:rsid w:val="00F0136A"/>
    <w:rsid w:val="00F059C2"/>
    <w:rsid w:val="00F07F2A"/>
    <w:rsid w:val="00F11399"/>
    <w:rsid w:val="00F11E60"/>
    <w:rsid w:val="00F125E3"/>
    <w:rsid w:val="00F13148"/>
    <w:rsid w:val="00F13F79"/>
    <w:rsid w:val="00F142B3"/>
    <w:rsid w:val="00F146EC"/>
    <w:rsid w:val="00F178F0"/>
    <w:rsid w:val="00F208F5"/>
    <w:rsid w:val="00F20C00"/>
    <w:rsid w:val="00F20E7E"/>
    <w:rsid w:val="00F228D3"/>
    <w:rsid w:val="00F24CA7"/>
    <w:rsid w:val="00F26C3E"/>
    <w:rsid w:val="00F273E6"/>
    <w:rsid w:val="00F336E2"/>
    <w:rsid w:val="00F3578B"/>
    <w:rsid w:val="00F3735B"/>
    <w:rsid w:val="00F42FC4"/>
    <w:rsid w:val="00F46339"/>
    <w:rsid w:val="00F55643"/>
    <w:rsid w:val="00F6587F"/>
    <w:rsid w:val="00F6675C"/>
    <w:rsid w:val="00F7092D"/>
    <w:rsid w:val="00F71ADF"/>
    <w:rsid w:val="00F80D59"/>
    <w:rsid w:val="00F811C7"/>
    <w:rsid w:val="00F8708C"/>
    <w:rsid w:val="00F8722F"/>
    <w:rsid w:val="00F91BF2"/>
    <w:rsid w:val="00F931E5"/>
    <w:rsid w:val="00F9353B"/>
    <w:rsid w:val="00F95FA3"/>
    <w:rsid w:val="00FA7789"/>
    <w:rsid w:val="00FB01EC"/>
    <w:rsid w:val="00FB0262"/>
    <w:rsid w:val="00FB439B"/>
    <w:rsid w:val="00FB43B6"/>
    <w:rsid w:val="00FB52A5"/>
    <w:rsid w:val="00FB5748"/>
    <w:rsid w:val="00FC17C5"/>
    <w:rsid w:val="00FC538B"/>
    <w:rsid w:val="00FC64CA"/>
    <w:rsid w:val="00FD17EE"/>
    <w:rsid w:val="00FD21C0"/>
    <w:rsid w:val="00FD3416"/>
    <w:rsid w:val="00FD3F2A"/>
    <w:rsid w:val="00FD5686"/>
    <w:rsid w:val="00FD5E30"/>
    <w:rsid w:val="00FF3208"/>
    <w:rsid w:val="00FF55FD"/>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7906"/>
    <w:pPr>
      <w:widowControl w:val="0"/>
      <w:autoSpaceDE w:val="0"/>
      <w:autoSpaceDN w:val="0"/>
      <w:adjustRightInd w:val="0"/>
      <w:spacing w:after="0" w:line="240" w:lineRule="auto"/>
    </w:pPr>
    <w:rPr>
      <w:rFonts w:ascii="Franklin Gothic Heavy" w:eastAsiaTheme="minorEastAsia" w:hAnsi="Franklin Gothic Heavy"/>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yle1">
    <w:name w:val="Style1"/>
    <w:basedOn w:val="Normal"/>
    <w:uiPriority w:val="99"/>
    <w:rsid w:val="00C27906"/>
  </w:style>
  <w:style w:type="paragraph" w:customStyle="1" w:styleId="Style2">
    <w:name w:val="Style2"/>
    <w:basedOn w:val="Normal"/>
    <w:uiPriority w:val="99"/>
    <w:rsid w:val="00C27906"/>
    <w:pPr>
      <w:spacing w:line="442" w:lineRule="exact"/>
      <w:jc w:val="center"/>
    </w:pPr>
  </w:style>
  <w:style w:type="paragraph" w:customStyle="1" w:styleId="Style3">
    <w:name w:val="Style3"/>
    <w:basedOn w:val="Normal"/>
    <w:uiPriority w:val="99"/>
    <w:rsid w:val="00C27906"/>
  </w:style>
  <w:style w:type="paragraph" w:customStyle="1" w:styleId="Style4">
    <w:name w:val="Style4"/>
    <w:basedOn w:val="Normal"/>
    <w:uiPriority w:val="99"/>
    <w:rsid w:val="00C27906"/>
    <w:pPr>
      <w:spacing w:line="257" w:lineRule="exact"/>
    </w:pPr>
  </w:style>
  <w:style w:type="paragraph" w:customStyle="1" w:styleId="Style5">
    <w:name w:val="Style5"/>
    <w:basedOn w:val="Normal"/>
    <w:uiPriority w:val="99"/>
    <w:rsid w:val="00C27906"/>
    <w:pPr>
      <w:spacing w:line="250" w:lineRule="exact"/>
      <w:ind w:hanging="235"/>
    </w:pPr>
  </w:style>
  <w:style w:type="character" w:customStyle="1" w:styleId="FontStyle11">
    <w:name w:val="Font Style11"/>
    <w:basedOn w:val="Policepardfaut"/>
    <w:uiPriority w:val="99"/>
    <w:rsid w:val="00C27906"/>
    <w:rPr>
      <w:rFonts w:ascii="Franklin Gothic Heavy" w:hAnsi="Franklin Gothic Heavy" w:cs="Franklin Gothic Heavy"/>
      <w:sz w:val="38"/>
      <w:szCs w:val="38"/>
    </w:rPr>
  </w:style>
  <w:style w:type="character" w:customStyle="1" w:styleId="FontStyle12">
    <w:name w:val="Font Style12"/>
    <w:basedOn w:val="Policepardfaut"/>
    <w:uiPriority w:val="99"/>
    <w:rsid w:val="00C27906"/>
    <w:rPr>
      <w:rFonts w:ascii="Franklin Gothic Heavy" w:hAnsi="Franklin Gothic Heavy" w:cs="Franklin Gothic Heavy"/>
      <w:spacing w:val="10"/>
      <w:sz w:val="22"/>
      <w:szCs w:val="22"/>
    </w:rPr>
  </w:style>
  <w:style w:type="character" w:customStyle="1" w:styleId="FontStyle13">
    <w:name w:val="Font Style13"/>
    <w:basedOn w:val="Policepardfaut"/>
    <w:uiPriority w:val="99"/>
    <w:rsid w:val="00C27906"/>
    <w:rPr>
      <w:rFonts w:ascii="Angsana New" w:hAnsi="Angsana New" w:cs="Angsana New"/>
      <w:sz w:val="30"/>
      <w:szCs w:val="30"/>
    </w:rPr>
  </w:style>
  <w:style w:type="character" w:customStyle="1" w:styleId="FontStyle14">
    <w:name w:val="Font Style14"/>
    <w:basedOn w:val="Policepardfaut"/>
    <w:uiPriority w:val="99"/>
    <w:rsid w:val="00C27906"/>
    <w:rPr>
      <w:rFonts w:ascii="Angsana New" w:hAnsi="Angsana New" w:cs="Angsana New"/>
      <w:sz w:val="26"/>
      <w:szCs w:val="26"/>
    </w:rPr>
  </w:style>
  <w:style w:type="character" w:customStyle="1" w:styleId="FontStyle15">
    <w:name w:val="Font Style15"/>
    <w:basedOn w:val="Policepardfaut"/>
    <w:uiPriority w:val="99"/>
    <w:rsid w:val="00C27906"/>
    <w:rPr>
      <w:rFonts w:ascii="Angsana New" w:hAnsi="Angsana New" w:cs="Angsana New"/>
      <w:b/>
      <w:bCs/>
      <w:spacing w:val="-20"/>
      <w:sz w:val="30"/>
      <w:szCs w:val="30"/>
    </w:rPr>
  </w:style>
  <w:style w:type="paragraph" w:customStyle="1" w:styleId="Style11">
    <w:name w:val="Style11"/>
    <w:basedOn w:val="Normal"/>
    <w:uiPriority w:val="99"/>
    <w:rsid w:val="00C27906"/>
    <w:pPr>
      <w:spacing w:line="254" w:lineRule="exact"/>
      <w:ind w:hanging="82"/>
      <w:jc w:val="both"/>
    </w:pPr>
    <w:rPr>
      <w:rFonts w:ascii="Calibri" w:hAnsi="Calibri" w:cs="Times New Roman"/>
    </w:rPr>
  </w:style>
  <w:style w:type="character" w:customStyle="1" w:styleId="FontStyle25">
    <w:name w:val="Font Style25"/>
    <w:basedOn w:val="Policepardfaut"/>
    <w:uiPriority w:val="99"/>
    <w:rsid w:val="00C27906"/>
    <w:rPr>
      <w:rFonts w:ascii="Cambria" w:hAnsi="Cambria" w:cs="Cambria"/>
      <w:sz w:val="20"/>
      <w:szCs w:val="20"/>
    </w:rPr>
  </w:style>
  <w:style w:type="character" w:customStyle="1" w:styleId="FontStyle27">
    <w:name w:val="Font Style27"/>
    <w:basedOn w:val="Policepardfaut"/>
    <w:uiPriority w:val="99"/>
    <w:rsid w:val="00C27906"/>
    <w:rPr>
      <w:rFonts w:ascii="Calibri" w:hAnsi="Calibri" w:cs="Calibri"/>
      <w:b/>
      <w:bCs/>
      <w:sz w:val="18"/>
      <w:szCs w:val="18"/>
    </w:rPr>
  </w:style>
  <w:style w:type="paragraph" w:customStyle="1" w:styleId="Style6">
    <w:name w:val="Style6"/>
    <w:basedOn w:val="Normal"/>
    <w:uiPriority w:val="99"/>
    <w:rsid w:val="00C27906"/>
    <w:pPr>
      <w:spacing w:line="254" w:lineRule="exact"/>
      <w:ind w:firstLine="230"/>
      <w:jc w:val="both"/>
    </w:pPr>
    <w:rPr>
      <w:rFonts w:ascii="Calibri" w:hAnsi="Calibri" w:cs="Times New Roman"/>
    </w:rPr>
  </w:style>
  <w:style w:type="paragraph" w:customStyle="1" w:styleId="Style7">
    <w:name w:val="Style7"/>
    <w:basedOn w:val="Normal"/>
    <w:uiPriority w:val="99"/>
    <w:rsid w:val="00C27906"/>
    <w:pPr>
      <w:spacing w:line="254" w:lineRule="exact"/>
    </w:pPr>
    <w:rPr>
      <w:rFonts w:ascii="Calibri" w:hAnsi="Calibri" w:cs="Times New Roman"/>
    </w:rPr>
  </w:style>
  <w:style w:type="paragraph" w:customStyle="1" w:styleId="Style8">
    <w:name w:val="Style8"/>
    <w:basedOn w:val="Normal"/>
    <w:uiPriority w:val="99"/>
    <w:rsid w:val="00C27906"/>
    <w:rPr>
      <w:rFonts w:ascii="Calibri" w:hAnsi="Calibri" w:cs="Times New Roman"/>
    </w:rPr>
  </w:style>
  <w:style w:type="character" w:customStyle="1" w:styleId="FontStyle17">
    <w:name w:val="Font Style17"/>
    <w:basedOn w:val="Policepardfaut"/>
    <w:uiPriority w:val="99"/>
    <w:rsid w:val="00C27906"/>
    <w:rPr>
      <w:rFonts w:ascii="Calibri" w:hAnsi="Calibri" w:cs="Calibri"/>
      <w:b/>
      <w:bCs/>
      <w:sz w:val="26"/>
      <w:szCs w:val="26"/>
    </w:rPr>
  </w:style>
  <w:style w:type="character" w:customStyle="1" w:styleId="FontStyle18">
    <w:name w:val="Font Style18"/>
    <w:basedOn w:val="Policepardfaut"/>
    <w:uiPriority w:val="99"/>
    <w:rsid w:val="00C27906"/>
    <w:rPr>
      <w:rFonts w:ascii="Angsana New" w:hAnsi="Angsana New" w:cs="Angsana New"/>
      <w:sz w:val="30"/>
      <w:szCs w:val="30"/>
    </w:rPr>
  </w:style>
  <w:style w:type="paragraph" w:customStyle="1" w:styleId="Style9">
    <w:name w:val="Style9"/>
    <w:basedOn w:val="Normal"/>
    <w:uiPriority w:val="99"/>
    <w:rsid w:val="00C27906"/>
    <w:rPr>
      <w:rFonts w:ascii="Calibri" w:hAnsi="Calibri" w:cs="Times New Roman"/>
    </w:rPr>
  </w:style>
  <w:style w:type="character" w:customStyle="1" w:styleId="FontStyle36">
    <w:name w:val="Font Style36"/>
    <w:basedOn w:val="Policepardfaut"/>
    <w:uiPriority w:val="99"/>
    <w:rsid w:val="00C27906"/>
    <w:rPr>
      <w:rFonts w:ascii="Candara" w:hAnsi="Candara" w:cs="Candara"/>
      <w:b/>
      <w:bCs/>
      <w:smallCaps/>
      <w:spacing w:val="-20"/>
      <w:sz w:val="20"/>
      <w:szCs w:val="20"/>
    </w:rPr>
  </w:style>
  <w:style w:type="character" w:customStyle="1" w:styleId="FontStyle37">
    <w:name w:val="Font Style37"/>
    <w:basedOn w:val="Policepardfaut"/>
    <w:uiPriority w:val="99"/>
    <w:rsid w:val="00C27906"/>
    <w:rPr>
      <w:rFonts w:ascii="Times New Roman" w:hAnsi="Times New Roman" w:cs="Times New Roman"/>
      <w:sz w:val="18"/>
      <w:szCs w:val="18"/>
    </w:rPr>
  </w:style>
  <w:style w:type="character" w:customStyle="1" w:styleId="FontStyle63">
    <w:name w:val="Font Style63"/>
    <w:basedOn w:val="Policepardfaut"/>
    <w:uiPriority w:val="99"/>
    <w:rsid w:val="00C27906"/>
    <w:rPr>
      <w:rFonts w:ascii="Bookman Old Style" w:hAnsi="Bookman Old Style" w:cs="Bookman Old Style"/>
      <w:spacing w:val="10"/>
      <w:sz w:val="16"/>
      <w:szCs w:val="16"/>
    </w:rPr>
  </w:style>
  <w:style w:type="paragraph" w:styleId="Textedebulles">
    <w:name w:val="Balloon Text"/>
    <w:basedOn w:val="Normal"/>
    <w:link w:val="TextedebullesCar"/>
    <w:uiPriority w:val="99"/>
    <w:semiHidden/>
    <w:unhideWhenUsed/>
    <w:rsid w:val="00C27906"/>
    <w:rPr>
      <w:rFonts w:ascii="Tahoma" w:hAnsi="Tahoma" w:cs="Tahoma"/>
      <w:sz w:val="16"/>
      <w:szCs w:val="16"/>
    </w:rPr>
  </w:style>
  <w:style w:type="character" w:customStyle="1" w:styleId="TextedebullesCar">
    <w:name w:val="Texte de bulles Car"/>
    <w:basedOn w:val="Policepardfaut"/>
    <w:link w:val="Textedebulles"/>
    <w:uiPriority w:val="99"/>
    <w:semiHidden/>
    <w:rsid w:val="00C27906"/>
    <w:rPr>
      <w:rFonts w:ascii="Tahoma" w:eastAsiaTheme="minorEastAsia" w:hAnsi="Tahoma" w:cs="Tahoma"/>
      <w:sz w:val="16"/>
      <w:szCs w:val="16"/>
      <w:lang w:eastAsia="fr-FR"/>
    </w:rPr>
  </w:style>
  <w:style w:type="paragraph" w:styleId="Paragraphedeliste">
    <w:name w:val="List Paragraph"/>
    <w:basedOn w:val="Normal"/>
    <w:uiPriority w:val="34"/>
    <w:qFormat/>
    <w:rsid w:val="00C27906"/>
    <w:pPr>
      <w:ind w:left="720"/>
      <w:contextualSpacing/>
    </w:pPr>
  </w:style>
  <w:style w:type="paragraph" w:styleId="En-tte">
    <w:name w:val="header"/>
    <w:basedOn w:val="Normal"/>
    <w:link w:val="En-tteCar"/>
    <w:uiPriority w:val="99"/>
    <w:semiHidden/>
    <w:unhideWhenUsed/>
    <w:rsid w:val="00950D91"/>
    <w:pPr>
      <w:tabs>
        <w:tab w:val="center" w:pos="4536"/>
        <w:tab w:val="right" w:pos="9072"/>
      </w:tabs>
    </w:pPr>
  </w:style>
  <w:style w:type="character" w:customStyle="1" w:styleId="En-tteCar">
    <w:name w:val="En-tête Car"/>
    <w:basedOn w:val="Policepardfaut"/>
    <w:link w:val="En-tte"/>
    <w:uiPriority w:val="99"/>
    <w:semiHidden/>
    <w:rsid w:val="00950D91"/>
    <w:rPr>
      <w:rFonts w:ascii="Franklin Gothic Heavy" w:eastAsiaTheme="minorEastAsia" w:hAnsi="Franklin Gothic Heavy"/>
      <w:sz w:val="24"/>
      <w:szCs w:val="24"/>
      <w:lang w:eastAsia="fr-FR"/>
    </w:rPr>
  </w:style>
  <w:style w:type="paragraph" w:styleId="Pieddepage">
    <w:name w:val="footer"/>
    <w:basedOn w:val="Normal"/>
    <w:link w:val="PieddepageCar"/>
    <w:uiPriority w:val="99"/>
    <w:unhideWhenUsed/>
    <w:rsid w:val="00950D91"/>
    <w:pPr>
      <w:tabs>
        <w:tab w:val="center" w:pos="4536"/>
        <w:tab w:val="right" w:pos="9072"/>
      </w:tabs>
    </w:pPr>
  </w:style>
  <w:style w:type="character" w:customStyle="1" w:styleId="PieddepageCar">
    <w:name w:val="Pied de page Car"/>
    <w:basedOn w:val="Policepardfaut"/>
    <w:link w:val="Pieddepage"/>
    <w:uiPriority w:val="99"/>
    <w:rsid w:val="00950D91"/>
    <w:rPr>
      <w:rFonts w:ascii="Franklin Gothic Heavy" w:eastAsiaTheme="minorEastAsia" w:hAnsi="Franklin Gothic Heavy"/>
      <w:sz w:val="24"/>
      <w:szCs w:val="24"/>
      <w:lang w:eastAsia="fr-F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2990EC-A8E5-4A4B-B741-16B07FC21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1180</Words>
  <Characters>6495</Characters>
  <Application>Microsoft Office Word</Application>
  <DocSecurity>0</DocSecurity>
  <Lines>54</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cp:lastPrinted>2013-11-30T17:35:00Z</cp:lastPrinted>
  <dcterms:created xsi:type="dcterms:W3CDTF">2014-01-10T12:53:00Z</dcterms:created>
  <dcterms:modified xsi:type="dcterms:W3CDTF">2014-01-10T12:53:00Z</dcterms:modified>
</cp:coreProperties>
</file>