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1C2" w:rsidRPr="00D541C2" w:rsidRDefault="00A71CE2" w:rsidP="00D541C2">
      <w:pPr>
        <w:jc w:val="center"/>
        <w:rPr>
          <w:rFonts w:asciiTheme="majorBidi" w:hAnsiTheme="majorBidi" w:cstheme="majorBidi"/>
          <w:b/>
          <w:bCs/>
          <w:sz w:val="40"/>
          <w:szCs w:val="40"/>
        </w:rPr>
      </w:pPr>
      <w:r>
        <w:rPr>
          <w:rFonts w:asciiTheme="majorBidi" w:hAnsiTheme="majorBidi" w:cstheme="majorBidi"/>
          <w:b/>
          <w:bCs/>
          <w:sz w:val="40"/>
          <w:szCs w:val="40"/>
        </w:rPr>
        <w:t>Chapitre 3</w:t>
      </w:r>
    </w:p>
    <w:p w:rsidR="00D541C2" w:rsidRPr="00D541C2" w:rsidRDefault="00D541C2" w:rsidP="00D541C2">
      <w:pPr>
        <w:jc w:val="center"/>
        <w:rPr>
          <w:rFonts w:asciiTheme="majorBidi" w:hAnsiTheme="majorBidi" w:cstheme="majorBidi"/>
          <w:b/>
          <w:bCs/>
          <w:sz w:val="40"/>
          <w:szCs w:val="40"/>
        </w:rPr>
      </w:pPr>
      <w:r w:rsidRPr="00D541C2">
        <w:rPr>
          <w:rFonts w:asciiTheme="majorBidi" w:hAnsiTheme="majorBidi" w:cstheme="majorBidi"/>
          <w:b/>
          <w:bCs/>
          <w:sz w:val="40"/>
          <w:szCs w:val="40"/>
        </w:rPr>
        <w:t>Pigments</w:t>
      </w:r>
    </w:p>
    <w:p w:rsidR="00D541C2" w:rsidRPr="00AD6399" w:rsidRDefault="00D541C2" w:rsidP="00927F80">
      <w:pPr>
        <w:jc w:val="both"/>
        <w:rPr>
          <w:rFonts w:asciiTheme="majorBidi" w:hAnsiTheme="majorBidi" w:cstheme="majorBidi"/>
          <w:sz w:val="24"/>
          <w:szCs w:val="24"/>
        </w:rPr>
      </w:pPr>
      <w:r w:rsidRPr="00AD6399">
        <w:rPr>
          <w:rFonts w:asciiTheme="majorBidi" w:hAnsiTheme="majorBidi" w:cstheme="majorBidi"/>
          <w:sz w:val="24"/>
          <w:szCs w:val="24"/>
        </w:rPr>
        <w:t>Les principaux pigments naturels appartiennent à trois grandes catégories :</w:t>
      </w:r>
    </w:p>
    <w:p w:rsidR="00D541C2" w:rsidRPr="00AD6399" w:rsidRDefault="00D541C2" w:rsidP="00927F80">
      <w:pPr>
        <w:jc w:val="both"/>
        <w:rPr>
          <w:rFonts w:asciiTheme="majorBidi" w:hAnsiTheme="majorBidi" w:cstheme="majorBidi"/>
          <w:sz w:val="24"/>
          <w:szCs w:val="24"/>
        </w:rPr>
      </w:pPr>
      <w:r w:rsidRPr="00AD6399">
        <w:rPr>
          <w:rFonts w:asciiTheme="majorBidi" w:hAnsiTheme="majorBidi" w:cstheme="majorBidi"/>
          <w:sz w:val="24"/>
          <w:szCs w:val="24"/>
        </w:rPr>
        <w:t>- les pigments porphyriniques parmi lesquels les chlorophylles, les pigments héminiques, (par exemple, myoglobine, hémoglo</w:t>
      </w:r>
      <w:r w:rsidR="00A71CE2">
        <w:rPr>
          <w:rFonts w:asciiTheme="majorBidi" w:hAnsiTheme="majorBidi" w:cstheme="majorBidi"/>
          <w:sz w:val="24"/>
          <w:szCs w:val="24"/>
        </w:rPr>
        <w:t>bine</w:t>
      </w:r>
      <w:r w:rsidRPr="00AD6399">
        <w:rPr>
          <w:rFonts w:asciiTheme="majorBidi" w:hAnsiTheme="majorBidi" w:cstheme="majorBidi"/>
          <w:sz w:val="24"/>
          <w:szCs w:val="24"/>
        </w:rPr>
        <w:t>) ;</w:t>
      </w:r>
    </w:p>
    <w:p w:rsidR="00D541C2" w:rsidRPr="00AD6399" w:rsidRDefault="00D541C2" w:rsidP="00A71CE2">
      <w:pPr>
        <w:jc w:val="both"/>
        <w:rPr>
          <w:rFonts w:asciiTheme="majorBidi" w:hAnsiTheme="majorBidi" w:cstheme="majorBidi"/>
          <w:sz w:val="24"/>
          <w:szCs w:val="24"/>
        </w:rPr>
      </w:pPr>
      <w:r w:rsidRPr="00AD6399">
        <w:rPr>
          <w:rFonts w:asciiTheme="majorBidi" w:hAnsiTheme="majorBidi" w:cstheme="majorBidi"/>
          <w:sz w:val="24"/>
          <w:szCs w:val="24"/>
        </w:rPr>
        <w:t>- les caroténoïdes, parmi lesquels on peut citer le</w:t>
      </w:r>
      <w:r w:rsidR="00A71CE2">
        <w:rPr>
          <w:rFonts w:asciiTheme="majorBidi" w:hAnsiTheme="majorBidi" w:cstheme="majorBidi"/>
          <w:sz w:val="24"/>
          <w:szCs w:val="24"/>
        </w:rPr>
        <w:t xml:space="preserve"> ß</w:t>
      </w:r>
      <w:r w:rsidRPr="00AD6399">
        <w:rPr>
          <w:rFonts w:asciiTheme="majorBidi" w:hAnsiTheme="majorBidi" w:cstheme="majorBidi"/>
          <w:sz w:val="24"/>
          <w:szCs w:val="24"/>
        </w:rPr>
        <w:t>-carotène, pr</w:t>
      </w:r>
      <w:r w:rsidR="00A71CE2">
        <w:rPr>
          <w:rFonts w:asciiTheme="majorBidi" w:hAnsiTheme="majorBidi" w:cstheme="majorBidi"/>
          <w:sz w:val="24"/>
          <w:szCs w:val="24"/>
        </w:rPr>
        <w:t>écurseur de la vitamine A, le lycopène</w:t>
      </w:r>
      <w:r w:rsidRPr="00AD6399">
        <w:rPr>
          <w:rFonts w:asciiTheme="majorBidi" w:hAnsiTheme="majorBidi" w:cstheme="majorBidi"/>
          <w:sz w:val="24"/>
          <w:szCs w:val="24"/>
        </w:rPr>
        <w:t>, les xanthophylles...</w:t>
      </w:r>
    </w:p>
    <w:p w:rsidR="00D541C2" w:rsidRPr="00AD6399" w:rsidRDefault="00D541C2" w:rsidP="00927F80">
      <w:pPr>
        <w:jc w:val="both"/>
        <w:rPr>
          <w:rFonts w:asciiTheme="majorBidi" w:hAnsiTheme="majorBidi" w:cstheme="majorBidi"/>
          <w:sz w:val="24"/>
          <w:szCs w:val="24"/>
        </w:rPr>
      </w:pPr>
      <w:r w:rsidRPr="00AD6399">
        <w:rPr>
          <w:rFonts w:asciiTheme="majorBidi" w:hAnsiTheme="majorBidi" w:cstheme="majorBidi"/>
          <w:sz w:val="24"/>
          <w:szCs w:val="24"/>
        </w:rPr>
        <w:t>- les flavonoïdes et leurs dérivés.</w:t>
      </w:r>
    </w:p>
    <w:p w:rsidR="00D541C2" w:rsidRPr="00AD6399" w:rsidRDefault="00D541C2" w:rsidP="00927F80">
      <w:pPr>
        <w:jc w:val="both"/>
        <w:rPr>
          <w:rFonts w:asciiTheme="majorBidi" w:hAnsiTheme="majorBidi" w:cstheme="majorBidi"/>
          <w:sz w:val="24"/>
          <w:szCs w:val="24"/>
        </w:rPr>
      </w:pPr>
      <w:r w:rsidRPr="00AD6399">
        <w:rPr>
          <w:rFonts w:asciiTheme="majorBidi" w:hAnsiTheme="majorBidi" w:cstheme="majorBidi"/>
          <w:sz w:val="24"/>
          <w:szCs w:val="24"/>
        </w:rPr>
        <w:t>Il convient également de mentionner : les tannins, bétalaïnes, quinones et xanthones...</w:t>
      </w:r>
    </w:p>
    <w:p w:rsidR="00D541C2" w:rsidRPr="00AD6399" w:rsidRDefault="00D541C2" w:rsidP="00A71CE2">
      <w:pPr>
        <w:jc w:val="both"/>
        <w:rPr>
          <w:rFonts w:asciiTheme="majorBidi" w:hAnsiTheme="majorBidi" w:cstheme="majorBidi"/>
          <w:sz w:val="24"/>
          <w:szCs w:val="24"/>
        </w:rPr>
      </w:pPr>
      <w:r w:rsidRPr="00AD6399">
        <w:rPr>
          <w:rFonts w:asciiTheme="majorBidi" w:hAnsiTheme="majorBidi" w:cstheme="majorBidi"/>
          <w:sz w:val="24"/>
          <w:szCs w:val="24"/>
        </w:rPr>
        <w:t xml:space="preserve">Les colorants artificiels ajoutés aux aliments </w:t>
      </w:r>
      <w:r w:rsidR="00A71CE2">
        <w:rPr>
          <w:rFonts w:asciiTheme="majorBidi" w:hAnsiTheme="majorBidi" w:cstheme="majorBidi"/>
          <w:sz w:val="24"/>
          <w:szCs w:val="24"/>
        </w:rPr>
        <w:t>von</w:t>
      </w:r>
      <w:r w:rsidRPr="00AD6399">
        <w:rPr>
          <w:rFonts w:asciiTheme="majorBidi" w:hAnsiTheme="majorBidi" w:cstheme="majorBidi"/>
          <w:sz w:val="24"/>
          <w:szCs w:val="24"/>
        </w:rPr>
        <w:t>t</w:t>
      </w:r>
      <w:r w:rsidR="00A71CE2">
        <w:rPr>
          <w:rFonts w:asciiTheme="majorBidi" w:hAnsiTheme="majorBidi" w:cstheme="majorBidi"/>
          <w:sz w:val="24"/>
          <w:szCs w:val="24"/>
        </w:rPr>
        <w:t xml:space="preserve"> être  lister dans le chapitre sur les additifs alimentaires</w:t>
      </w:r>
      <w:r w:rsidRPr="00AD6399">
        <w:rPr>
          <w:rFonts w:asciiTheme="majorBidi" w:hAnsiTheme="majorBidi" w:cstheme="majorBidi"/>
          <w:sz w:val="24"/>
          <w:szCs w:val="24"/>
        </w:rPr>
        <w:t>.</w:t>
      </w:r>
    </w:p>
    <w:p w:rsidR="00D541C2" w:rsidRPr="00AD6399" w:rsidRDefault="00D541C2" w:rsidP="00927F80">
      <w:pPr>
        <w:jc w:val="both"/>
        <w:rPr>
          <w:rFonts w:asciiTheme="majorBidi" w:hAnsiTheme="majorBidi" w:cstheme="majorBidi"/>
          <w:sz w:val="24"/>
          <w:szCs w:val="24"/>
        </w:rPr>
      </w:pPr>
      <w:r w:rsidRPr="00AD6399">
        <w:rPr>
          <w:rFonts w:asciiTheme="majorBidi" w:hAnsiTheme="majorBidi" w:cstheme="majorBidi"/>
          <w:sz w:val="24"/>
          <w:szCs w:val="24"/>
        </w:rPr>
        <w:t>Cette fonction chromogénique n'est pas la seule propriété de ces molécules. De nombreux pigments appartiennent également - comme la vitamine C, les tocophérols, certains oligo-éléments... - aux antioxydants alimentaires. Rappelons que les antioxydants sont des molécules d'origine exogène ou endogène dont la fonction est précisément de contrer les effets toxiques des espèces réactives de l'oxygène et de contribuer ainsi au maintien de l'intégrité cellulaire.</w:t>
      </w:r>
    </w:p>
    <w:p w:rsidR="00D541C2" w:rsidRPr="00AD6399" w:rsidRDefault="00A71CE2" w:rsidP="00927F80">
      <w:pPr>
        <w:jc w:val="both"/>
        <w:rPr>
          <w:rFonts w:asciiTheme="majorBidi" w:hAnsiTheme="majorBidi" w:cstheme="majorBidi"/>
          <w:b/>
          <w:bCs/>
          <w:sz w:val="24"/>
          <w:szCs w:val="24"/>
        </w:rPr>
      </w:pPr>
      <w:r>
        <w:rPr>
          <w:rFonts w:asciiTheme="majorBidi" w:hAnsiTheme="majorBidi" w:cstheme="majorBidi"/>
          <w:b/>
          <w:bCs/>
          <w:sz w:val="24"/>
          <w:szCs w:val="24"/>
        </w:rPr>
        <w:t>3</w:t>
      </w:r>
      <w:r w:rsidR="00D541C2" w:rsidRPr="00AD6399">
        <w:rPr>
          <w:rFonts w:asciiTheme="majorBidi" w:hAnsiTheme="majorBidi" w:cstheme="majorBidi"/>
          <w:b/>
          <w:bCs/>
          <w:sz w:val="24"/>
          <w:szCs w:val="24"/>
        </w:rPr>
        <w:t>.1 LES CHLOROPHYLLES</w:t>
      </w:r>
    </w:p>
    <w:p w:rsidR="00D541C2" w:rsidRPr="00AD6399" w:rsidRDefault="00A71CE2" w:rsidP="00927F80">
      <w:pPr>
        <w:jc w:val="both"/>
        <w:rPr>
          <w:rFonts w:asciiTheme="majorBidi" w:hAnsiTheme="majorBidi" w:cstheme="majorBidi"/>
          <w:b/>
          <w:bCs/>
          <w:sz w:val="24"/>
          <w:szCs w:val="24"/>
        </w:rPr>
      </w:pPr>
      <w:r>
        <w:rPr>
          <w:rFonts w:asciiTheme="majorBidi" w:hAnsiTheme="majorBidi" w:cstheme="majorBidi"/>
          <w:b/>
          <w:bCs/>
          <w:sz w:val="24"/>
          <w:szCs w:val="24"/>
        </w:rPr>
        <w:t>3</w:t>
      </w:r>
      <w:r w:rsidR="00D541C2" w:rsidRPr="00AD6399">
        <w:rPr>
          <w:rFonts w:asciiTheme="majorBidi" w:hAnsiTheme="majorBidi" w:cstheme="majorBidi"/>
          <w:b/>
          <w:bCs/>
          <w:sz w:val="24"/>
          <w:szCs w:val="24"/>
        </w:rPr>
        <w:t>.1.1 Structure</w:t>
      </w:r>
    </w:p>
    <w:p w:rsidR="00A71CE2" w:rsidRDefault="00D541C2" w:rsidP="00A71CE2">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La chlorophylle a et la chlorophylle b, présentes dans les chloroplastes des végétaux supérieurs, sont des pigments dont la structure diffère très peu (figure 9.1). Les deux chlorophylles ont un noyau tétrap</w:t>
      </w:r>
      <w:r w:rsidR="00A71CE2">
        <w:rPr>
          <w:rFonts w:asciiTheme="majorBidi" w:hAnsiTheme="majorBidi" w:cstheme="majorBidi"/>
          <w:sz w:val="24"/>
          <w:szCs w:val="24"/>
        </w:rPr>
        <w:t>yrrolique semblable à celui de l’hème</w:t>
      </w:r>
      <w:r w:rsidRPr="00AD6399">
        <w:rPr>
          <w:rFonts w:asciiTheme="majorBidi" w:hAnsiTheme="majorBidi" w:cstheme="majorBidi"/>
          <w:sz w:val="24"/>
          <w:szCs w:val="24"/>
        </w:rPr>
        <w:t>, mais avec un atome de Mg</w:t>
      </w:r>
      <w:r w:rsidRPr="00A71CE2">
        <w:rPr>
          <w:rFonts w:asciiTheme="majorBidi" w:hAnsiTheme="majorBidi" w:cstheme="majorBidi"/>
          <w:sz w:val="24"/>
          <w:szCs w:val="24"/>
          <w:vertAlign w:val="superscript"/>
        </w:rPr>
        <w:t>2+</w:t>
      </w:r>
      <w:r w:rsidRPr="00AD6399">
        <w:rPr>
          <w:rFonts w:asciiTheme="majorBidi" w:hAnsiTheme="majorBidi" w:cstheme="majorBidi"/>
          <w:sz w:val="24"/>
          <w:szCs w:val="24"/>
        </w:rPr>
        <w:t xml:space="preserve"> au centre. Une longue chaîne latérale hydrocarbonée phytyle (en C</w:t>
      </w:r>
      <w:r w:rsidRPr="00AD6399">
        <w:rPr>
          <w:rFonts w:asciiTheme="majorBidi" w:hAnsiTheme="majorBidi" w:cstheme="majorBidi"/>
          <w:sz w:val="24"/>
          <w:szCs w:val="24"/>
          <w:vertAlign w:val="subscript"/>
        </w:rPr>
        <w:t>20</w:t>
      </w:r>
      <w:r w:rsidRPr="00AD6399">
        <w:rPr>
          <w:rFonts w:asciiTheme="majorBidi" w:hAnsiTheme="majorBidi" w:cstheme="majorBidi"/>
          <w:sz w:val="24"/>
          <w:szCs w:val="24"/>
        </w:rPr>
        <w:t>) confère à la molécule un caractère liposoluble.</w:t>
      </w:r>
      <w:r w:rsidR="00A71CE2" w:rsidRPr="00A71CE2">
        <w:rPr>
          <w:rFonts w:asciiTheme="majorBidi" w:hAnsiTheme="majorBidi" w:cstheme="majorBidi"/>
          <w:sz w:val="24"/>
          <w:szCs w:val="24"/>
        </w:rPr>
        <w:t xml:space="preserve"> </w:t>
      </w:r>
    </w:p>
    <w:p w:rsidR="00A71CE2" w:rsidRPr="00AD6399" w:rsidRDefault="00A71CE2" w:rsidP="00A71CE2">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La chlorophylle apparaît comme le pigment majeur responsable de la réaction photosynthétique car son spectre d'absorption - qui présente 2 pics à 430 et 680 nm - coïncide assez bien avec la courbe optimale d'efficacité de la lumière dans la photosynthèse en fonction de la longueur d'onde.</w:t>
      </w:r>
    </w:p>
    <w:p w:rsidR="00A71CE2" w:rsidRDefault="00A71CE2" w:rsidP="00A71CE2">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Les chlorophylles sont associées à certaines protéines des thylacoïdes – vésicules aplaties interconnectées des chloroplastes - pour former différents complexes pigments-protéines.</w:t>
      </w:r>
    </w:p>
    <w:p w:rsidR="00A71CE2" w:rsidRPr="00AD6399" w:rsidRDefault="00A71CE2" w:rsidP="00A71CE2">
      <w:pPr>
        <w:autoSpaceDE w:val="0"/>
        <w:autoSpaceDN w:val="0"/>
        <w:adjustRightInd w:val="0"/>
        <w:spacing w:after="0" w:line="240" w:lineRule="auto"/>
        <w:jc w:val="both"/>
        <w:rPr>
          <w:rFonts w:asciiTheme="majorBidi" w:hAnsiTheme="majorBidi" w:cstheme="majorBidi"/>
          <w:sz w:val="24"/>
          <w:szCs w:val="24"/>
        </w:rPr>
      </w:pPr>
    </w:p>
    <w:p w:rsidR="00A71CE2" w:rsidRPr="00AD6399" w:rsidRDefault="00A71CE2" w:rsidP="00A71CE2">
      <w:pPr>
        <w:autoSpaceDE w:val="0"/>
        <w:autoSpaceDN w:val="0"/>
        <w:adjustRightInd w:val="0"/>
        <w:spacing w:after="0" w:line="240" w:lineRule="auto"/>
        <w:jc w:val="both"/>
        <w:rPr>
          <w:rFonts w:asciiTheme="majorBidi" w:hAnsiTheme="majorBidi" w:cstheme="majorBidi"/>
          <w:b/>
          <w:bCs/>
          <w:sz w:val="24"/>
          <w:szCs w:val="24"/>
        </w:rPr>
      </w:pPr>
      <w:r>
        <w:rPr>
          <w:rFonts w:asciiTheme="majorBidi" w:hAnsiTheme="majorBidi" w:cstheme="majorBidi"/>
          <w:b/>
          <w:bCs/>
          <w:sz w:val="24"/>
          <w:szCs w:val="24"/>
        </w:rPr>
        <w:t>3</w:t>
      </w:r>
      <w:r w:rsidRPr="00AD6399">
        <w:rPr>
          <w:rFonts w:asciiTheme="majorBidi" w:hAnsiTheme="majorBidi" w:cstheme="majorBidi"/>
          <w:b/>
          <w:bCs/>
          <w:sz w:val="24"/>
          <w:szCs w:val="24"/>
        </w:rPr>
        <w:t>.1.2 Dégradation</w:t>
      </w:r>
    </w:p>
    <w:p w:rsidR="00A71CE2" w:rsidRPr="00AD6399" w:rsidRDefault="00A71CE2" w:rsidP="00A71CE2">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Plusieurs voies sont possibles :</w:t>
      </w:r>
    </w:p>
    <w:p w:rsidR="00A71CE2" w:rsidRPr="00AD6399" w:rsidRDefault="00A71CE2" w:rsidP="00A71CE2">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 Le départ du magnésium est catalysé par un apport d'ions H</w:t>
      </w:r>
      <w:r w:rsidRPr="00A71CE2">
        <w:rPr>
          <w:rFonts w:asciiTheme="majorBidi" w:hAnsiTheme="majorBidi" w:cstheme="majorBidi"/>
          <w:sz w:val="24"/>
          <w:szCs w:val="24"/>
          <w:vertAlign w:val="superscript"/>
        </w:rPr>
        <w:t>+</w:t>
      </w:r>
      <w:r w:rsidRPr="00AD6399">
        <w:rPr>
          <w:rFonts w:asciiTheme="majorBidi" w:hAnsiTheme="majorBidi" w:cstheme="majorBidi"/>
          <w:sz w:val="24"/>
          <w:szCs w:val="24"/>
        </w:rPr>
        <w:t xml:space="preserve"> ainsi que par la chaleur; il s'observe, par exemple, lors de la cuisson dans l'eau ou la vapeur. L'action de la chaleur peut être atténuée en faisant appel à des traitements thermiques brefs à haute température ou en élevant le pH du milieu.</w:t>
      </w:r>
    </w:p>
    <w:p w:rsidR="00A71CE2" w:rsidRPr="00AD6399" w:rsidRDefault="00A71CE2" w:rsidP="00A71CE2">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 La coupure du phytol est catalysée par la chlorophyllase ; cette enzyme assez thermorésistante se rencontre uniquement dans certains végétaux et ne serait activée que pendant la maturation.</w:t>
      </w:r>
    </w:p>
    <w:p w:rsidR="00D541C2" w:rsidRPr="00AD6399" w:rsidRDefault="00D541C2" w:rsidP="00927F80">
      <w:pPr>
        <w:jc w:val="both"/>
        <w:rPr>
          <w:rFonts w:asciiTheme="majorBidi" w:hAnsiTheme="majorBidi" w:cstheme="majorBidi"/>
          <w:sz w:val="24"/>
          <w:szCs w:val="24"/>
        </w:rPr>
      </w:pPr>
    </w:p>
    <w:p w:rsidR="00D541C2" w:rsidRPr="00AD6399" w:rsidRDefault="00D541C2" w:rsidP="00927F80">
      <w:pPr>
        <w:jc w:val="both"/>
        <w:rPr>
          <w:rFonts w:asciiTheme="majorBidi" w:hAnsiTheme="majorBidi" w:cstheme="majorBidi"/>
          <w:sz w:val="24"/>
          <w:szCs w:val="24"/>
        </w:rPr>
      </w:pPr>
    </w:p>
    <w:p w:rsidR="00D541C2" w:rsidRPr="00AD6399" w:rsidRDefault="00D541C2" w:rsidP="00927F80">
      <w:pPr>
        <w:jc w:val="both"/>
        <w:rPr>
          <w:rFonts w:asciiTheme="majorBidi" w:hAnsiTheme="majorBidi" w:cstheme="majorBidi"/>
          <w:sz w:val="24"/>
          <w:szCs w:val="24"/>
        </w:rPr>
      </w:pPr>
    </w:p>
    <w:p w:rsidR="00D541C2" w:rsidRPr="00AD6399" w:rsidRDefault="00D541C2" w:rsidP="00927F80">
      <w:pPr>
        <w:jc w:val="center"/>
        <w:rPr>
          <w:rFonts w:asciiTheme="majorBidi" w:hAnsiTheme="majorBidi" w:cstheme="majorBidi"/>
          <w:sz w:val="24"/>
          <w:szCs w:val="24"/>
        </w:rPr>
      </w:pPr>
      <w:r w:rsidRPr="00AD6399">
        <w:rPr>
          <w:rFonts w:asciiTheme="majorBidi" w:hAnsiTheme="majorBidi" w:cstheme="majorBidi"/>
          <w:noProof/>
          <w:sz w:val="24"/>
          <w:szCs w:val="24"/>
          <w:lang w:eastAsia="fr-FR"/>
        </w:rPr>
        <w:drawing>
          <wp:inline distT="0" distB="0" distL="0" distR="0">
            <wp:extent cx="5133975" cy="3848100"/>
            <wp:effectExtent l="1905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133975" cy="3848100"/>
                    </a:xfrm>
                    <a:prstGeom prst="rect">
                      <a:avLst/>
                    </a:prstGeom>
                    <a:noFill/>
                    <a:ln w="9525">
                      <a:noFill/>
                      <a:miter lim="800000"/>
                      <a:headEnd/>
                      <a:tailEnd/>
                    </a:ln>
                  </pic:spPr>
                </pic:pic>
              </a:graphicData>
            </a:graphic>
          </wp:inline>
        </w:drawing>
      </w:r>
    </w:p>
    <w:p w:rsidR="00D541C2" w:rsidRPr="00AD6399" w:rsidRDefault="00D541C2" w:rsidP="00927F80">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 Différents types d'oxydation (enzymatique, photo-oxydation...) peuvent également</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se produire et l'ouverture oxydative du noyau tétrapyrrolique conduit à des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formes incolores. Certains composés volatils accélèrent (éthylène) ou ralentissent</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(dioxyde de carbone) la dégradation de la chlorophylle.</w:t>
      </w:r>
    </w:p>
    <w:p w:rsidR="00D541C2" w:rsidRPr="00AD6399" w:rsidRDefault="00D541C2" w:rsidP="00927F80">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Soulignons que les composés obtenus après le départ du magnésium (phéophytines)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ou après la coupure du groupement phytol (chlorophyllines) peuvent également</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être oxydés pour donner de la phéophorbide puis des chlorines et purpurines de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couleur brune. Ces réactions de dégradation sont résumées sur la figure 9.2.</w:t>
      </w:r>
    </w:p>
    <w:p w:rsidR="00D541C2" w:rsidRPr="00AD6399" w:rsidRDefault="00D541C2" w:rsidP="00927F80">
      <w:pPr>
        <w:jc w:val="center"/>
        <w:rPr>
          <w:rFonts w:asciiTheme="majorBidi" w:hAnsiTheme="majorBidi" w:cstheme="majorBidi"/>
          <w:sz w:val="24"/>
          <w:szCs w:val="24"/>
        </w:rPr>
      </w:pPr>
      <w:r w:rsidRPr="00AD6399">
        <w:rPr>
          <w:rFonts w:asciiTheme="majorBidi" w:hAnsiTheme="majorBidi" w:cstheme="majorBidi"/>
          <w:noProof/>
          <w:sz w:val="24"/>
          <w:szCs w:val="24"/>
          <w:lang w:eastAsia="fr-FR"/>
        </w:rPr>
        <w:drawing>
          <wp:inline distT="0" distB="0" distL="0" distR="0">
            <wp:extent cx="3838575" cy="1981200"/>
            <wp:effectExtent l="19050" t="0" r="952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3838575" cy="1981200"/>
                    </a:xfrm>
                    <a:prstGeom prst="rect">
                      <a:avLst/>
                    </a:prstGeom>
                    <a:noFill/>
                    <a:ln w="9525">
                      <a:noFill/>
                      <a:miter lim="800000"/>
                      <a:headEnd/>
                      <a:tailEnd/>
                    </a:ln>
                  </pic:spPr>
                </pic:pic>
              </a:graphicData>
            </a:graphic>
          </wp:inline>
        </w:drawing>
      </w:r>
    </w:p>
    <w:p w:rsidR="00D541C2" w:rsidRPr="00AD6399" w:rsidRDefault="00A71CE2" w:rsidP="00927F80">
      <w:pPr>
        <w:autoSpaceDE w:val="0"/>
        <w:autoSpaceDN w:val="0"/>
        <w:adjustRightInd w:val="0"/>
        <w:spacing w:after="0" w:line="240" w:lineRule="auto"/>
        <w:jc w:val="both"/>
        <w:rPr>
          <w:rFonts w:asciiTheme="majorBidi" w:hAnsiTheme="majorBidi" w:cstheme="majorBidi"/>
          <w:b/>
          <w:bCs/>
          <w:sz w:val="24"/>
          <w:szCs w:val="24"/>
        </w:rPr>
      </w:pPr>
      <w:r>
        <w:rPr>
          <w:rFonts w:asciiTheme="majorBidi" w:hAnsiTheme="majorBidi" w:cstheme="majorBidi"/>
          <w:b/>
          <w:bCs/>
          <w:sz w:val="24"/>
          <w:szCs w:val="24"/>
        </w:rPr>
        <w:t>3</w:t>
      </w:r>
      <w:r w:rsidR="00D541C2" w:rsidRPr="00AD6399">
        <w:rPr>
          <w:rFonts w:asciiTheme="majorBidi" w:hAnsiTheme="majorBidi" w:cstheme="majorBidi"/>
          <w:b/>
          <w:bCs/>
          <w:sz w:val="24"/>
          <w:szCs w:val="24"/>
        </w:rPr>
        <w:t>.2 FLAVONOÏDES ET DÉRIVÉS</w:t>
      </w:r>
    </w:p>
    <w:p w:rsidR="00D541C2" w:rsidRPr="00AD6399" w:rsidRDefault="00D541C2" w:rsidP="00927F80">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Les flavonoïdes sont des polyphénols naturels contenus sous forme de dérivés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glucosidiques dans de nombreux fruits et légumes et dans certaines boissons telles le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thé, le vin et la bière.</w:t>
      </w:r>
    </w:p>
    <w:p w:rsidR="00D541C2" w:rsidRPr="00AD6399" w:rsidRDefault="00A71CE2" w:rsidP="00927F80">
      <w:pPr>
        <w:autoSpaceDE w:val="0"/>
        <w:autoSpaceDN w:val="0"/>
        <w:adjustRightInd w:val="0"/>
        <w:spacing w:after="0" w:line="240" w:lineRule="auto"/>
        <w:jc w:val="both"/>
        <w:rPr>
          <w:rFonts w:asciiTheme="majorBidi" w:hAnsiTheme="majorBidi" w:cstheme="majorBidi"/>
          <w:b/>
          <w:bCs/>
          <w:sz w:val="24"/>
          <w:szCs w:val="24"/>
        </w:rPr>
      </w:pPr>
      <w:r>
        <w:rPr>
          <w:rFonts w:asciiTheme="majorBidi" w:hAnsiTheme="majorBidi" w:cstheme="majorBidi"/>
          <w:b/>
          <w:bCs/>
          <w:sz w:val="24"/>
          <w:szCs w:val="24"/>
        </w:rPr>
        <w:t>3</w:t>
      </w:r>
      <w:r w:rsidR="00D541C2" w:rsidRPr="00AD6399">
        <w:rPr>
          <w:rFonts w:asciiTheme="majorBidi" w:hAnsiTheme="majorBidi" w:cstheme="majorBidi"/>
          <w:b/>
          <w:bCs/>
          <w:sz w:val="24"/>
          <w:szCs w:val="24"/>
        </w:rPr>
        <w:t>.2.1 Structure</w:t>
      </w:r>
    </w:p>
    <w:p w:rsidR="00D541C2" w:rsidRPr="00AD6399" w:rsidRDefault="00D541C2" w:rsidP="00927F80">
      <w:pPr>
        <w:jc w:val="both"/>
        <w:rPr>
          <w:rFonts w:asciiTheme="majorBidi" w:hAnsiTheme="majorBidi" w:cstheme="majorBidi"/>
          <w:sz w:val="24"/>
          <w:szCs w:val="24"/>
        </w:rPr>
      </w:pPr>
      <w:r w:rsidRPr="00AD6399">
        <w:rPr>
          <w:rFonts w:asciiTheme="majorBidi" w:hAnsiTheme="majorBidi" w:cstheme="majorBidi"/>
          <w:sz w:val="24"/>
          <w:szCs w:val="24"/>
        </w:rPr>
        <w:t>Ces substances ont comme structure de base :</w:t>
      </w:r>
    </w:p>
    <w:p w:rsidR="00D541C2" w:rsidRPr="00AD6399" w:rsidRDefault="00D541C2" w:rsidP="00927F80">
      <w:pPr>
        <w:jc w:val="center"/>
        <w:rPr>
          <w:rFonts w:asciiTheme="majorBidi" w:hAnsiTheme="majorBidi" w:cstheme="majorBidi"/>
          <w:sz w:val="24"/>
          <w:szCs w:val="24"/>
        </w:rPr>
      </w:pPr>
      <w:r w:rsidRPr="00AD6399">
        <w:rPr>
          <w:rFonts w:asciiTheme="majorBidi" w:hAnsiTheme="majorBidi" w:cstheme="majorBidi"/>
          <w:noProof/>
          <w:sz w:val="24"/>
          <w:szCs w:val="24"/>
          <w:lang w:eastAsia="fr-FR"/>
        </w:rPr>
        <w:lastRenderedPageBreak/>
        <w:drawing>
          <wp:inline distT="0" distB="0" distL="0" distR="0">
            <wp:extent cx="2962275" cy="1285875"/>
            <wp:effectExtent l="19050" t="0" r="952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962275" cy="1285875"/>
                    </a:xfrm>
                    <a:prstGeom prst="rect">
                      <a:avLst/>
                    </a:prstGeom>
                    <a:noFill/>
                    <a:ln w="9525">
                      <a:noFill/>
                      <a:miter lim="800000"/>
                      <a:headEnd/>
                      <a:tailEnd/>
                    </a:ln>
                  </pic:spPr>
                </pic:pic>
              </a:graphicData>
            </a:graphic>
          </wp:inline>
        </w:drawing>
      </w:r>
    </w:p>
    <w:p w:rsidR="00D541C2" w:rsidRPr="00AD6399" w:rsidRDefault="00D541C2" w:rsidP="00841C3B">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Les différentes couleurs rouges ou violettes des anthocyanes, jaunes des flavones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ou l'absence de couleur de certains flavonoïdes ne sont dues qu'à la délocalisation</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plus ou moins grande des électrons de l'hétérocycle central. À partir d'un certain</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niveau de délocalisation, le cation flavilium commence - comme on peut le constater</w:t>
      </w:r>
      <w:r w:rsidR="00841C3B">
        <w:rPr>
          <w:rFonts w:asciiTheme="majorBidi" w:hAnsiTheme="majorBidi" w:cstheme="majorBidi"/>
          <w:sz w:val="24"/>
          <w:szCs w:val="24"/>
        </w:rPr>
        <w:t xml:space="preserve"> </w:t>
      </w:r>
      <w:r w:rsidRPr="00AD6399">
        <w:rPr>
          <w:rFonts w:asciiTheme="majorBidi" w:hAnsiTheme="majorBidi" w:cstheme="majorBidi"/>
          <w:sz w:val="24"/>
          <w:szCs w:val="24"/>
        </w:rPr>
        <w:t>sur les structures ci-après - à absorber dans le domaine visible donc se colore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en jaune, puis orange, rouge et violet (les maxima d'absorbance sont indiqués entre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tirets) (fig. 9.4).</w:t>
      </w:r>
    </w:p>
    <w:p w:rsidR="00D541C2" w:rsidRPr="00AD6399" w:rsidRDefault="00D541C2" w:rsidP="00927F80">
      <w:pPr>
        <w:jc w:val="center"/>
        <w:rPr>
          <w:rFonts w:asciiTheme="majorBidi" w:hAnsiTheme="majorBidi" w:cstheme="majorBidi"/>
          <w:sz w:val="24"/>
          <w:szCs w:val="24"/>
        </w:rPr>
      </w:pPr>
      <w:r w:rsidRPr="00AD6399">
        <w:rPr>
          <w:rFonts w:asciiTheme="majorBidi" w:hAnsiTheme="majorBidi" w:cstheme="majorBidi"/>
          <w:noProof/>
          <w:sz w:val="24"/>
          <w:szCs w:val="24"/>
          <w:lang w:eastAsia="fr-FR"/>
        </w:rPr>
        <w:drawing>
          <wp:inline distT="0" distB="0" distL="0" distR="0">
            <wp:extent cx="5286375" cy="1771650"/>
            <wp:effectExtent l="19050" t="0" r="952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286375" cy="1771650"/>
                    </a:xfrm>
                    <a:prstGeom prst="rect">
                      <a:avLst/>
                    </a:prstGeom>
                    <a:noFill/>
                    <a:ln w="9525">
                      <a:noFill/>
                      <a:miter lim="800000"/>
                      <a:headEnd/>
                      <a:tailEnd/>
                    </a:ln>
                  </pic:spPr>
                </pic:pic>
              </a:graphicData>
            </a:graphic>
          </wp:inline>
        </w:drawing>
      </w:r>
    </w:p>
    <w:p w:rsidR="00D541C2" w:rsidRPr="00AD6399" w:rsidRDefault="00D541C2" w:rsidP="00927F80">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Parmi les nombreux pigments dérivant de cette structure, il convient de citer</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notamment :</w:t>
      </w:r>
    </w:p>
    <w:p w:rsidR="00D541C2" w:rsidRPr="00AD6399" w:rsidRDefault="00D541C2" w:rsidP="00927F80">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 xml:space="preserve">• Les </w:t>
      </w:r>
      <w:r w:rsidRPr="00AD6399">
        <w:rPr>
          <w:rFonts w:asciiTheme="majorBidi" w:hAnsiTheme="majorBidi" w:cstheme="majorBidi"/>
          <w:b/>
          <w:bCs/>
          <w:sz w:val="24"/>
          <w:szCs w:val="24"/>
        </w:rPr>
        <w:t xml:space="preserve">anthocyanidols. </w:t>
      </w:r>
      <w:r w:rsidRPr="00AD6399">
        <w:rPr>
          <w:rFonts w:asciiTheme="majorBidi" w:hAnsiTheme="majorBidi" w:cstheme="majorBidi"/>
          <w:sz w:val="24"/>
          <w:szCs w:val="24"/>
        </w:rPr>
        <w:t>Au sein de ce groupe de colorants, six seulement sont importants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en biochimie alimentaire. En plus de la présence d'un groupement OH sur les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carbones 3, 5 et 7, ils se différencient entre eux par la substitution de groupements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hydroxyl ou méthoxyl sur les carbones 3', 4' et 5' du noyau B.</w:t>
      </w:r>
    </w:p>
    <w:p w:rsidR="00D541C2" w:rsidRPr="00AD6399" w:rsidRDefault="00D541C2" w:rsidP="00927F80">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Ces composés rouges, bleus ou violets selon leur structure, se rencontrent généralement</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sous la forme d'anthocyanosides, c'est-à-dire liés à un ou plusieurs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glucides. Ces pigments changent de teinte soit en fonction du pH, soit lorsque le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groupement glucidique est séparé par hydrolyse.</w:t>
      </w:r>
    </w:p>
    <w:p w:rsidR="00D541C2" w:rsidRPr="00AD6399" w:rsidRDefault="00D541C2" w:rsidP="00243814">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Certains flavonoïdes sont incolores, par exemple, le leucocyanidol. Par oxydation</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(chauffage en milieu acide), ces composés incolores subissent une transformation</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en anthocyanidols ; la teinte vire au rose ou au rouge, (c'est ce qui se passe dans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certaines variétés de pommes, poires, choux, fèves...). C'est pour cette raison que</w:t>
      </w:r>
      <w:r w:rsidR="00243814">
        <w:rPr>
          <w:rFonts w:asciiTheme="majorBidi" w:hAnsiTheme="majorBidi" w:cstheme="majorBidi"/>
          <w:sz w:val="24"/>
          <w:szCs w:val="24"/>
        </w:rPr>
        <w:t xml:space="preserve"> </w:t>
      </w:r>
      <w:r w:rsidRPr="00AD6399">
        <w:rPr>
          <w:rFonts w:asciiTheme="majorBidi" w:hAnsiTheme="majorBidi" w:cstheme="majorBidi"/>
          <w:sz w:val="24"/>
          <w:szCs w:val="24"/>
        </w:rPr>
        <w:t>l'on préfère les appeler les proanthocyanidols.</w:t>
      </w:r>
    </w:p>
    <w:p w:rsidR="00D541C2" w:rsidRPr="00AD6399" w:rsidRDefault="00D541C2" w:rsidP="00927F80">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 xml:space="preserve">• Les </w:t>
      </w:r>
      <w:r w:rsidRPr="00AD6399">
        <w:rPr>
          <w:rFonts w:asciiTheme="majorBidi" w:hAnsiTheme="majorBidi" w:cstheme="majorBidi"/>
          <w:b/>
          <w:bCs/>
          <w:sz w:val="24"/>
          <w:szCs w:val="24"/>
        </w:rPr>
        <w:t xml:space="preserve">flavonols </w:t>
      </w:r>
      <w:r w:rsidRPr="00AD6399">
        <w:rPr>
          <w:rFonts w:asciiTheme="majorBidi" w:hAnsiTheme="majorBidi" w:cstheme="majorBidi"/>
          <w:sz w:val="24"/>
          <w:szCs w:val="24"/>
        </w:rPr>
        <w:t>de teinte jaune en général - sont caractérisés par la présence d'un</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groupement carbonyle en position 4 et d'un groupement hydroxyle en position 3.</w:t>
      </w:r>
    </w:p>
    <w:p w:rsidR="00D541C2" w:rsidRPr="00AD6399" w:rsidRDefault="00D541C2" w:rsidP="00927F80">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Par différence avec les anthocyanidols, le groupement glucidique est le plus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souvent relié en position 7. Parmi les flavonols les plus répandus, on trouve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notamment le quercétol et le myricétol.</w:t>
      </w:r>
    </w:p>
    <w:p w:rsidR="00D541C2" w:rsidRPr="00AD6399" w:rsidRDefault="00D541C2" w:rsidP="00927F80">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 xml:space="preserve">• Les </w:t>
      </w:r>
      <w:r w:rsidRPr="00AD6399">
        <w:rPr>
          <w:rFonts w:asciiTheme="majorBidi" w:hAnsiTheme="majorBidi" w:cstheme="majorBidi"/>
          <w:b/>
          <w:bCs/>
          <w:sz w:val="24"/>
          <w:szCs w:val="24"/>
        </w:rPr>
        <w:t xml:space="preserve">flavanones </w:t>
      </w:r>
      <w:r w:rsidRPr="00AD6399">
        <w:rPr>
          <w:rFonts w:asciiTheme="majorBidi" w:hAnsiTheme="majorBidi" w:cstheme="majorBidi"/>
          <w:sz w:val="24"/>
          <w:szCs w:val="24"/>
        </w:rPr>
        <w:t>qui ne comportent pas de groupement OH en position 3, présentent</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de fortes similitudes de structure avec les flavonols. Dans cette catégorie, il</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faut ranger les flavonoïdes responsables de la saveur amère de certains pamplemousses,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citrons, oranges : la naringine (naringénol lié à du glucose et du rhamnose),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l'he</w:t>
      </w:r>
      <w:r w:rsidR="00243814">
        <w:rPr>
          <w:rFonts w:asciiTheme="majorBidi" w:hAnsiTheme="majorBidi" w:cstheme="majorBidi"/>
          <w:sz w:val="24"/>
          <w:szCs w:val="24"/>
        </w:rPr>
        <w:t>spéridine</w:t>
      </w:r>
      <w:r w:rsidRPr="00AD6399">
        <w:rPr>
          <w:rFonts w:asciiTheme="majorBidi" w:hAnsiTheme="majorBidi" w:cstheme="majorBidi"/>
          <w:sz w:val="24"/>
          <w:szCs w:val="24"/>
        </w:rPr>
        <w:t>.</w:t>
      </w:r>
    </w:p>
    <w:p w:rsidR="00D541C2" w:rsidRPr="00AD6399" w:rsidRDefault="00A71CE2" w:rsidP="00927F80">
      <w:pPr>
        <w:autoSpaceDE w:val="0"/>
        <w:autoSpaceDN w:val="0"/>
        <w:adjustRightInd w:val="0"/>
        <w:spacing w:after="0" w:line="240" w:lineRule="auto"/>
        <w:jc w:val="both"/>
        <w:rPr>
          <w:rFonts w:asciiTheme="majorBidi" w:hAnsiTheme="majorBidi" w:cstheme="majorBidi"/>
          <w:b/>
          <w:bCs/>
          <w:sz w:val="24"/>
          <w:szCs w:val="24"/>
        </w:rPr>
      </w:pPr>
      <w:r>
        <w:rPr>
          <w:rFonts w:asciiTheme="majorBidi" w:hAnsiTheme="majorBidi" w:cstheme="majorBidi"/>
          <w:b/>
          <w:bCs/>
          <w:sz w:val="24"/>
          <w:szCs w:val="24"/>
        </w:rPr>
        <w:t>3</w:t>
      </w:r>
      <w:r w:rsidR="00D541C2" w:rsidRPr="00AD6399">
        <w:rPr>
          <w:rFonts w:asciiTheme="majorBidi" w:hAnsiTheme="majorBidi" w:cstheme="majorBidi"/>
          <w:b/>
          <w:bCs/>
          <w:sz w:val="24"/>
          <w:szCs w:val="24"/>
        </w:rPr>
        <w:t>.2.2 Importance en technologie alimentaire</w:t>
      </w:r>
    </w:p>
    <w:p w:rsidR="00D541C2" w:rsidRPr="00AD6399" w:rsidRDefault="00D541C2" w:rsidP="00A71CE2">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Le caractère électrophile de la structure de base de ces pigments explique leur</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grande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réactivité. Les réactions qui peuvent souvent conduire à des composés incolores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 xml:space="preserve">sont non </w:t>
      </w:r>
      <w:r w:rsidR="00243814" w:rsidRPr="00AD6399">
        <w:rPr>
          <w:rFonts w:asciiTheme="majorBidi" w:hAnsiTheme="majorBidi" w:cstheme="majorBidi"/>
          <w:sz w:val="24"/>
          <w:szCs w:val="24"/>
        </w:rPr>
        <w:t>recherchées</w:t>
      </w:r>
      <w:r w:rsidRPr="00AD6399">
        <w:rPr>
          <w:rFonts w:asciiTheme="majorBidi" w:hAnsiTheme="majorBidi" w:cstheme="majorBidi"/>
          <w:sz w:val="24"/>
          <w:szCs w:val="24"/>
        </w:rPr>
        <w:t xml:space="preserve"> dans l'industrie des fruits et légumes. Aussi, il est essentiel</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de maîtriser le pH, la température, les conditions pro- ou antioxydantes du milieu de</w:t>
      </w:r>
      <w:r w:rsidR="00A71CE2">
        <w:rPr>
          <w:rFonts w:asciiTheme="majorBidi" w:hAnsiTheme="majorBidi" w:cstheme="majorBidi"/>
          <w:sz w:val="24"/>
          <w:szCs w:val="24"/>
        </w:rPr>
        <w:t xml:space="preserve"> </w:t>
      </w:r>
      <w:r w:rsidRPr="00AD6399">
        <w:rPr>
          <w:rFonts w:asciiTheme="majorBidi" w:hAnsiTheme="majorBidi" w:cstheme="majorBidi"/>
          <w:sz w:val="24"/>
          <w:szCs w:val="24"/>
        </w:rPr>
        <w:t>stockage de ces produits alimentaires.</w:t>
      </w:r>
    </w:p>
    <w:p w:rsidR="00D541C2" w:rsidRPr="00AD6399" w:rsidRDefault="00D541C2" w:rsidP="00927F80">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lastRenderedPageBreak/>
        <w:t>À titre d'exemples, on peut mentionner la réaction d'anthocyanidols rouges de la</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cerise avec l'étain des anciennes boîtes de conserves et l'apparition d'une teinte mauve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 xml:space="preserve">ou encore le </w:t>
      </w:r>
      <w:r w:rsidR="00243814" w:rsidRPr="00AD6399">
        <w:rPr>
          <w:rFonts w:asciiTheme="majorBidi" w:hAnsiTheme="majorBidi" w:cstheme="majorBidi"/>
          <w:sz w:val="24"/>
          <w:szCs w:val="24"/>
        </w:rPr>
        <w:t>désulfitage</w:t>
      </w:r>
      <w:r w:rsidRPr="00AD6399">
        <w:rPr>
          <w:rFonts w:asciiTheme="majorBidi" w:hAnsiTheme="majorBidi" w:cstheme="majorBidi"/>
          <w:sz w:val="24"/>
          <w:szCs w:val="24"/>
        </w:rPr>
        <w:t xml:space="preserve"> des fruits par chauffage ou acidification qui permet de régénérer</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leur couleur naturelle.</w:t>
      </w:r>
    </w:p>
    <w:p w:rsidR="00D541C2" w:rsidRPr="00AD6399" w:rsidRDefault="00D541C2" w:rsidP="00927F80">
      <w:pPr>
        <w:jc w:val="center"/>
        <w:rPr>
          <w:rFonts w:asciiTheme="majorBidi" w:hAnsiTheme="majorBidi" w:cstheme="majorBidi"/>
          <w:sz w:val="24"/>
          <w:szCs w:val="24"/>
        </w:rPr>
      </w:pPr>
      <w:r w:rsidRPr="00AD6399">
        <w:rPr>
          <w:rFonts w:asciiTheme="majorBidi" w:hAnsiTheme="majorBidi" w:cstheme="majorBidi"/>
          <w:noProof/>
          <w:sz w:val="24"/>
          <w:szCs w:val="24"/>
          <w:lang w:eastAsia="fr-FR"/>
        </w:rPr>
        <w:drawing>
          <wp:inline distT="0" distB="0" distL="0" distR="0">
            <wp:extent cx="5514975" cy="4105275"/>
            <wp:effectExtent l="19050" t="0" r="952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5514975" cy="4105275"/>
                    </a:xfrm>
                    <a:prstGeom prst="rect">
                      <a:avLst/>
                    </a:prstGeom>
                    <a:noFill/>
                    <a:ln w="9525">
                      <a:noFill/>
                      <a:miter lim="800000"/>
                      <a:headEnd/>
                      <a:tailEnd/>
                    </a:ln>
                  </pic:spPr>
                </pic:pic>
              </a:graphicData>
            </a:graphic>
          </wp:inline>
        </w:drawing>
      </w:r>
    </w:p>
    <w:p w:rsidR="00D541C2" w:rsidRPr="00AD6399" w:rsidRDefault="00D541C2" w:rsidP="00927F80">
      <w:pPr>
        <w:jc w:val="both"/>
        <w:rPr>
          <w:rFonts w:asciiTheme="majorBidi" w:hAnsiTheme="majorBidi" w:cstheme="majorBidi"/>
          <w:sz w:val="24"/>
          <w:szCs w:val="24"/>
        </w:rPr>
      </w:pPr>
      <w:r w:rsidRPr="00AD6399">
        <w:rPr>
          <w:rFonts w:asciiTheme="majorBidi" w:hAnsiTheme="majorBidi" w:cstheme="majorBidi"/>
          <w:sz w:val="24"/>
          <w:szCs w:val="24"/>
        </w:rPr>
        <w:t>Les glycosides des flavonols sont très répandus. Plus de la moitié des plantes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supérieures en contiennent. Ainsi, par exemple, les polyphénols du thé vert sont de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type flavonols ou catéchines en plus des acides phénoliques (acide gallique). Le thé</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noir contient des produits d'oxydation des flavonols des feuilles de thé par la polyphénoloxydase.</w:t>
      </w:r>
    </w:p>
    <w:p w:rsidR="00D541C2" w:rsidRPr="00AD6399" w:rsidRDefault="00D541C2" w:rsidP="00243814">
      <w:pPr>
        <w:jc w:val="both"/>
        <w:rPr>
          <w:rFonts w:asciiTheme="majorBidi" w:hAnsiTheme="majorBidi" w:cstheme="majorBidi"/>
          <w:sz w:val="24"/>
          <w:szCs w:val="24"/>
        </w:rPr>
      </w:pPr>
      <w:r w:rsidRPr="00AD6399">
        <w:rPr>
          <w:rFonts w:asciiTheme="majorBidi" w:hAnsiTheme="majorBidi" w:cstheme="majorBidi"/>
          <w:sz w:val="24"/>
          <w:szCs w:val="24"/>
        </w:rPr>
        <w:t>Les flavanones qui sont moins répandues, présentent cependant un grand intérêt.</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Ainsi, si l'on soumet la naringine présente dans la pelure d'un agrume à l'action</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d'une L-rhamnosidase, on obtient la prunine qui est moins amère. L'action d'une</w:t>
      </w:r>
      <w:r w:rsidR="00AD6399" w:rsidRPr="00AD6399">
        <w:rPr>
          <w:rFonts w:asciiTheme="majorBidi" w:hAnsiTheme="majorBidi" w:cstheme="majorBidi"/>
          <w:sz w:val="24"/>
          <w:szCs w:val="24"/>
        </w:rPr>
        <w:t xml:space="preserve"> ß</w:t>
      </w:r>
      <w:r w:rsidRPr="00AD6399">
        <w:rPr>
          <w:rFonts w:asciiTheme="majorBidi" w:hAnsiTheme="majorBidi" w:cstheme="majorBidi"/>
          <w:sz w:val="24"/>
          <w:szCs w:val="24"/>
        </w:rPr>
        <w:t>-D-glucosidase sur ce flavonoïde permet d'obtenir la naringénine, composé non</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amer (fig. 9.5). L'</w:t>
      </w:r>
      <w:r w:rsidR="00AD6399" w:rsidRPr="00AD6399">
        <w:rPr>
          <w:rFonts w:asciiTheme="majorBidi" w:hAnsiTheme="majorBidi" w:cstheme="majorBidi"/>
          <w:sz w:val="24"/>
          <w:szCs w:val="24"/>
        </w:rPr>
        <w:t>α</w:t>
      </w:r>
      <w:r w:rsidRPr="00AD6399">
        <w:rPr>
          <w:rFonts w:asciiTheme="majorBidi" w:hAnsiTheme="majorBidi" w:cstheme="majorBidi"/>
          <w:sz w:val="24"/>
          <w:szCs w:val="24"/>
        </w:rPr>
        <w:t>-L-rhamnosidase peut également agir sur l'hespéridine pour donner</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du dihydrochalcone hespéridine glucoside, substance à la saveur douce pouvant être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utilisée comme édulcorant (</w:t>
      </w:r>
      <w:r w:rsidR="00243814">
        <w:rPr>
          <w:rFonts w:asciiTheme="majorBidi" w:hAnsiTheme="majorBidi" w:cstheme="majorBidi"/>
          <w:sz w:val="24"/>
          <w:szCs w:val="24"/>
        </w:rPr>
        <w:t>voir chapitre additifs</w:t>
      </w:r>
      <w:r w:rsidRPr="00AD6399">
        <w:rPr>
          <w:rFonts w:asciiTheme="majorBidi" w:hAnsiTheme="majorBidi" w:cstheme="majorBidi"/>
          <w:sz w:val="24"/>
          <w:szCs w:val="24"/>
        </w:rPr>
        <w:t>).</w:t>
      </w:r>
    </w:p>
    <w:p w:rsidR="00D541C2" w:rsidRPr="00AD6399" w:rsidRDefault="00A71CE2" w:rsidP="00927F80">
      <w:pPr>
        <w:jc w:val="both"/>
        <w:rPr>
          <w:rFonts w:asciiTheme="majorBidi" w:hAnsiTheme="majorBidi" w:cstheme="majorBidi"/>
          <w:b/>
          <w:bCs/>
          <w:sz w:val="24"/>
          <w:szCs w:val="24"/>
        </w:rPr>
      </w:pPr>
      <w:r>
        <w:rPr>
          <w:rFonts w:asciiTheme="majorBidi" w:hAnsiTheme="majorBidi" w:cstheme="majorBidi"/>
          <w:b/>
          <w:bCs/>
          <w:sz w:val="24"/>
          <w:szCs w:val="24"/>
        </w:rPr>
        <w:t>3</w:t>
      </w:r>
      <w:r w:rsidR="00D541C2" w:rsidRPr="00AD6399">
        <w:rPr>
          <w:rFonts w:asciiTheme="majorBidi" w:hAnsiTheme="majorBidi" w:cstheme="majorBidi"/>
          <w:b/>
          <w:bCs/>
          <w:sz w:val="24"/>
          <w:szCs w:val="24"/>
        </w:rPr>
        <w:t>.3 AUTRES COMPOSÉS</w:t>
      </w:r>
    </w:p>
    <w:p w:rsidR="00D541C2" w:rsidRPr="00AD6399" w:rsidRDefault="00D541C2" w:rsidP="00927F80">
      <w:pPr>
        <w:jc w:val="both"/>
        <w:rPr>
          <w:rFonts w:asciiTheme="majorBidi" w:hAnsiTheme="majorBidi" w:cstheme="majorBidi"/>
          <w:sz w:val="24"/>
          <w:szCs w:val="24"/>
        </w:rPr>
      </w:pPr>
      <w:r w:rsidRPr="00AD6399">
        <w:rPr>
          <w:rFonts w:asciiTheme="majorBidi" w:hAnsiTheme="majorBidi" w:cstheme="majorBidi"/>
          <w:sz w:val="24"/>
          <w:szCs w:val="24"/>
        </w:rPr>
        <w:t>À côté de ces grandes catégories de pigments, les aliments d'origine végétale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contiennent de nombreux composés phénoliques qui, par transformation enzymatique,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peuvent donner naissance à des polymères colorés, le plus souvent bruns ou noirs.</w:t>
      </w:r>
    </w:p>
    <w:p w:rsidR="00D541C2" w:rsidRPr="00AF3ECB" w:rsidRDefault="00D541C2" w:rsidP="00AF3ECB">
      <w:pPr>
        <w:pStyle w:val="Paragraphedeliste"/>
        <w:numPr>
          <w:ilvl w:val="0"/>
          <w:numId w:val="1"/>
        </w:numPr>
        <w:jc w:val="both"/>
        <w:rPr>
          <w:rFonts w:asciiTheme="majorBidi" w:hAnsiTheme="majorBidi" w:cstheme="majorBidi"/>
          <w:sz w:val="24"/>
          <w:szCs w:val="24"/>
        </w:rPr>
      </w:pPr>
      <w:r w:rsidRPr="00AF3ECB">
        <w:rPr>
          <w:rFonts w:asciiTheme="majorBidi" w:hAnsiTheme="majorBidi" w:cstheme="majorBidi"/>
          <w:b/>
          <w:bCs/>
          <w:sz w:val="24"/>
          <w:szCs w:val="24"/>
        </w:rPr>
        <w:t>Les tannins</w:t>
      </w:r>
      <w:r w:rsidRPr="00AF3ECB">
        <w:rPr>
          <w:rFonts w:asciiTheme="majorBidi" w:hAnsiTheme="majorBidi" w:cstheme="majorBidi"/>
          <w:sz w:val="24"/>
          <w:szCs w:val="24"/>
        </w:rPr>
        <w:t xml:space="preserve"> sont un bon exemple de ce type de composés puisqu'on peut les</w:t>
      </w:r>
      <w:r w:rsidR="00AD6399" w:rsidRPr="00AF3ECB">
        <w:rPr>
          <w:rFonts w:asciiTheme="majorBidi" w:hAnsiTheme="majorBidi" w:cstheme="majorBidi"/>
          <w:sz w:val="24"/>
          <w:szCs w:val="24"/>
        </w:rPr>
        <w:t xml:space="preserve"> </w:t>
      </w:r>
      <w:r w:rsidRPr="00AF3ECB">
        <w:rPr>
          <w:rFonts w:asciiTheme="majorBidi" w:hAnsiTheme="majorBidi" w:cstheme="majorBidi"/>
          <w:sz w:val="24"/>
          <w:szCs w:val="24"/>
        </w:rPr>
        <w:t>distinguer en deux grands groupes : les tannins condensés (encore appelés catéchiques)</w:t>
      </w:r>
      <w:r w:rsidR="00AD6399" w:rsidRPr="00AF3ECB">
        <w:rPr>
          <w:rFonts w:asciiTheme="majorBidi" w:hAnsiTheme="majorBidi" w:cstheme="majorBidi"/>
          <w:sz w:val="24"/>
          <w:szCs w:val="24"/>
        </w:rPr>
        <w:t xml:space="preserve"> </w:t>
      </w:r>
      <w:r w:rsidRPr="00AF3ECB">
        <w:rPr>
          <w:rFonts w:asciiTheme="majorBidi" w:hAnsiTheme="majorBidi" w:cstheme="majorBidi"/>
          <w:sz w:val="24"/>
          <w:szCs w:val="24"/>
        </w:rPr>
        <w:t>dont la structure chimique est très voisine de celle des anthocyanidols et les</w:t>
      </w:r>
      <w:r w:rsidR="00AD6399" w:rsidRPr="00AF3ECB">
        <w:rPr>
          <w:rFonts w:asciiTheme="majorBidi" w:hAnsiTheme="majorBidi" w:cstheme="majorBidi"/>
          <w:sz w:val="24"/>
          <w:szCs w:val="24"/>
        </w:rPr>
        <w:t xml:space="preserve"> </w:t>
      </w:r>
      <w:r w:rsidRPr="00AF3ECB">
        <w:rPr>
          <w:rFonts w:asciiTheme="majorBidi" w:hAnsiTheme="majorBidi" w:cstheme="majorBidi"/>
          <w:sz w:val="24"/>
          <w:szCs w:val="24"/>
        </w:rPr>
        <w:t>tannins hydrolysables ou pyrogalliques qui résultent de l'estérification des cinq</w:t>
      </w:r>
      <w:r w:rsidR="00AD6399" w:rsidRPr="00AF3ECB">
        <w:rPr>
          <w:rFonts w:asciiTheme="majorBidi" w:hAnsiTheme="majorBidi" w:cstheme="majorBidi"/>
          <w:sz w:val="24"/>
          <w:szCs w:val="24"/>
        </w:rPr>
        <w:t xml:space="preserve"> </w:t>
      </w:r>
      <w:r w:rsidRPr="00AF3ECB">
        <w:rPr>
          <w:rFonts w:asciiTheme="majorBidi" w:hAnsiTheme="majorBidi" w:cstheme="majorBidi"/>
          <w:sz w:val="24"/>
          <w:szCs w:val="24"/>
        </w:rPr>
        <w:t>fonctions alcooliques du glucose par divers acid</w:t>
      </w:r>
      <w:r w:rsidR="00AF3ECB">
        <w:rPr>
          <w:rFonts w:asciiTheme="majorBidi" w:hAnsiTheme="majorBidi" w:cstheme="majorBidi"/>
          <w:sz w:val="24"/>
          <w:szCs w:val="24"/>
        </w:rPr>
        <w:t>es polyphénoliques.</w:t>
      </w:r>
    </w:p>
    <w:p w:rsidR="00AF3ECB" w:rsidRDefault="00AF3ECB" w:rsidP="00AF3ECB">
      <w:pPr>
        <w:jc w:val="both"/>
        <w:rPr>
          <w:rFonts w:asciiTheme="majorBidi" w:hAnsiTheme="majorBidi" w:cstheme="majorBidi"/>
          <w:sz w:val="24"/>
          <w:szCs w:val="24"/>
        </w:rPr>
      </w:pPr>
    </w:p>
    <w:p w:rsidR="00AF3ECB" w:rsidRDefault="00AF3ECB" w:rsidP="00AF3ECB">
      <w:pPr>
        <w:jc w:val="center"/>
        <w:rPr>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5286375" cy="2428875"/>
            <wp:effectExtent l="19050" t="0" r="9525" b="0"/>
            <wp:docPr id="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286375" cy="2428875"/>
                    </a:xfrm>
                    <a:prstGeom prst="rect">
                      <a:avLst/>
                    </a:prstGeom>
                    <a:noFill/>
                    <a:ln w="9525">
                      <a:noFill/>
                      <a:miter lim="800000"/>
                      <a:headEnd/>
                      <a:tailEnd/>
                    </a:ln>
                  </pic:spPr>
                </pic:pic>
              </a:graphicData>
            </a:graphic>
          </wp:inline>
        </w:drawing>
      </w:r>
    </w:p>
    <w:p w:rsidR="00AF3ECB" w:rsidRPr="00AF3ECB" w:rsidRDefault="00AF3ECB" w:rsidP="00AF3ECB">
      <w:pPr>
        <w:jc w:val="both"/>
        <w:rPr>
          <w:rFonts w:asciiTheme="majorBidi" w:hAnsiTheme="majorBidi" w:cstheme="majorBidi"/>
          <w:sz w:val="24"/>
          <w:szCs w:val="24"/>
        </w:rPr>
      </w:pPr>
    </w:p>
    <w:p w:rsidR="00D541C2" w:rsidRPr="00AD6399" w:rsidRDefault="00D541C2" w:rsidP="00927F80">
      <w:pPr>
        <w:jc w:val="both"/>
        <w:rPr>
          <w:rFonts w:asciiTheme="majorBidi" w:hAnsiTheme="majorBidi" w:cstheme="majorBidi"/>
          <w:sz w:val="24"/>
          <w:szCs w:val="24"/>
        </w:rPr>
      </w:pPr>
      <w:r w:rsidRPr="00AD6399">
        <w:rPr>
          <w:rFonts w:asciiTheme="majorBidi" w:hAnsiTheme="majorBidi" w:cstheme="majorBidi"/>
          <w:b/>
          <w:bCs/>
          <w:sz w:val="24"/>
          <w:szCs w:val="24"/>
        </w:rPr>
        <w:t>2. Les bétalaïnes</w:t>
      </w:r>
      <w:r w:rsidRPr="00AD6399">
        <w:rPr>
          <w:rFonts w:asciiTheme="majorBidi" w:hAnsiTheme="majorBidi" w:cstheme="majorBidi"/>
          <w:sz w:val="24"/>
          <w:szCs w:val="24"/>
        </w:rPr>
        <w:t xml:space="preserve"> ressemblent au niveau visuel aux anthocyanidols, d'où leur</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appellation impropre d'anthocyanidols azotés. Ils ont tous la même structure de base</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et la couleur résulte de la résonance entre les différentes structures mésomériques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(fig. 9.6).</w:t>
      </w:r>
    </w:p>
    <w:p w:rsidR="00D541C2" w:rsidRPr="00AD6399" w:rsidRDefault="00D541C2" w:rsidP="00927F80">
      <w:pPr>
        <w:jc w:val="center"/>
        <w:rPr>
          <w:rFonts w:asciiTheme="majorBidi" w:hAnsiTheme="majorBidi" w:cstheme="majorBidi"/>
          <w:sz w:val="24"/>
          <w:szCs w:val="24"/>
        </w:rPr>
      </w:pPr>
      <w:r w:rsidRPr="00AD6399">
        <w:rPr>
          <w:rFonts w:asciiTheme="majorBidi" w:hAnsiTheme="majorBidi" w:cstheme="majorBidi"/>
          <w:noProof/>
          <w:sz w:val="24"/>
          <w:szCs w:val="24"/>
          <w:lang w:eastAsia="fr-FR"/>
        </w:rPr>
        <w:drawing>
          <wp:inline distT="0" distB="0" distL="0" distR="0">
            <wp:extent cx="5286375" cy="3590925"/>
            <wp:effectExtent l="19050" t="0" r="9525"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5286375" cy="3590925"/>
                    </a:xfrm>
                    <a:prstGeom prst="rect">
                      <a:avLst/>
                    </a:prstGeom>
                    <a:noFill/>
                    <a:ln w="9525">
                      <a:noFill/>
                      <a:miter lim="800000"/>
                      <a:headEnd/>
                      <a:tailEnd/>
                    </a:ln>
                  </pic:spPr>
                </pic:pic>
              </a:graphicData>
            </a:graphic>
          </wp:inline>
        </w:drawing>
      </w:r>
    </w:p>
    <w:p w:rsidR="00D541C2" w:rsidRPr="00AD6399" w:rsidRDefault="00D541C2" w:rsidP="00927F80">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sz w:val="24"/>
          <w:szCs w:val="24"/>
        </w:rPr>
        <w:t>Les bétalaïnes les plus connus sont ceux de la betterave rouge dont deux des pigments,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les plus abondants, bétanidine et vulgaxanthène, sont représentés en figure 9.6.</w:t>
      </w:r>
    </w:p>
    <w:p w:rsidR="00D541C2" w:rsidRDefault="00D541C2" w:rsidP="00927F80">
      <w:pPr>
        <w:autoSpaceDE w:val="0"/>
        <w:autoSpaceDN w:val="0"/>
        <w:adjustRightInd w:val="0"/>
        <w:spacing w:after="0" w:line="240" w:lineRule="auto"/>
        <w:jc w:val="both"/>
        <w:rPr>
          <w:rFonts w:asciiTheme="majorBidi" w:hAnsiTheme="majorBidi" w:cstheme="majorBidi"/>
          <w:sz w:val="24"/>
          <w:szCs w:val="24"/>
        </w:rPr>
      </w:pPr>
      <w:r w:rsidRPr="00AD6399">
        <w:rPr>
          <w:rFonts w:asciiTheme="majorBidi" w:hAnsiTheme="majorBidi" w:cstheme="majorBidi"/>
          <w:b/>
          <w:bCs/>
          <w:sz w:val="24"/>
          <w:szCs w:val="24"/>
        </w:rPr>
        <w:t xml:space="preserve">3. Les quinones et xanthones </w:t>
      </w:r>
      <w:r w:rsidRPr="00AD6399">
        <w:rPr>
          <w:rFonts w:asciiTheme="majorBidi" w:hAnsiTheme="majorBidi" w:cstheme="majorBidi"/>
          <w:sz w:val="24"/>
          <w:szCs w:val="24"/>
        </w:rPr>
        <w:t>représentent également un groupe de pigments très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répandus dans les fleurs, champignons, algues et bactéries. Parmi les 200 composés</w:t>
      </w:r>
      <w:r w:rsidR="00AD6399" w:rsidRPr="00AD6399">
        <w:rPr>
          <w:rFonts w:asciiTheme="majorBidi" w:hAnsiTheme="majorBidi" w:cstheme="majorBidi"/>
          <w:sz w:val="24"/>
          <w:szCs w:val="24"/>
        </w:rPr>
        <w:t xml:space="preserve"> </w:t>
      </w:r>
      <w:r w:rsidRPr="00AD6399">
        <w:rPr>
          <w:rFonts w:asciiTheme="majorBidi" w:hAnsiTheme="majorBidi" w:cstheme="majorBidi"/>
          <w:sz w:val="24"/>
          <w:szCs w:val="24"/>
        </w:rPr>
        <w:t>identifiés, ce sont les naphtoquinones qui représentent le plus d'intérêt comme colorants</w:t>
      </w:r>
      <w:r w:rsidR="00AF3ECB">
        <w:rPr>
          <w:rFonts w:asciiTheme="majorBidi" w:hAnsiTheme="majorBidi" w:cstheme="majorBidi"/>
          <w:sz w:val="24"/>
          <w:szCs w:val="24"/>
        </w:rPr>
        <w:t xml:space="preserve"> </w:t>
      </w:r>
      <w:r w:rsidRPr="00AD6399">
        <w:rPr>
          <w:rFonts w:asciiTheme="majorBidi" w:hAnsiTheme="majorBidi" w:cstheme="majorBidi"/>
          <w:sz w:val="24"/>
          <w:szCs w:val="24"/>
        </w:rPr>
        <w:t>ou purgatifs (fig. 9.7).</w:t>
      </w:r>
    </w:p>
    <w:p w:rsidR="000E09F7" w:rsidRDefault="000E09F7" w:rsidP="00927F80">
      <w:pPr>
        <w:autoSpaceDE w:val="0"/>
        <w:autoSpaceDN w:val="0"/>
        <w:adjustRightInd w:val="0"/>
        <w:spacing w:after="0" w:line="240" w:lineRule="auto"/>
        <w:jc w:val="both"/>
        <w:rPr>
          <w:rFonts w:asciiTheme="majorBidi" w:hAnsiTheme="majorBidi" w:cstheme="majorBidi"/>
          <w:sz w:val="24"/>
          <w:szCs w:val="24"/>
        </w:rPr>
      </w:pPr>
    </w:p>
    <w:p w:rsidR="000E09F7" w:rsidRDefault="000E09F7" w:rsidP="00927F80">
      <w:pPr>
        <w:autoSpaceDE w:val="0"/>
        <w:autoSpaceDN w:val="0"/>
        <w:adjustRightInd w:val="0"/>
        <w:spacing w:after="0" w:line="240" w:lineRule="auto"/>
        <w:jc w:val="both"/>
        <w:rPr>
          <w:rFonts w:asciiTheme="majorBidi" w:hAnsiTheme="majorBidi" w:cstheme="majorBidi"/>
          <w:sz w:val="24"/>
          <w:szCs w:val="24"/>
        </w:rPr>
      </w:pPr>
    </w:p>
    <w:p w:rsidR="000E09F7" w:rsidRDefault="000E09F7" w:rsidP="00927F80">
      <w:pPr>
        <w:autoSpaceDE w:val="0"/>
        <w:autoSpaceDN w:val="0"/>
        <w:adjustRightInd w:val="0"/>
        <w:spacing w:after="0" w:line="240" w:lineRule="auto"/>
        <w:jc w:val="both"/>
        <w:rPr>
          <w:rFonts w:asciiTheme="majorBidi" w:hAnsiTheme="majorBidi" w:cstheme="majorBidi"/>
          <w:sz w:val="24"/>
          <w:szCs w:val="24"/>
        </w:rPr>
      </w:pPr>
    </w:p>
    <w:p w:rsidR="000E09F7" w:rsidRDefault="000E09F7" w:rsidP="00927F80">
      <w:pPr>
        <w:autoSpaceDE w:val="0"/>
        <w:autoSpaceDN w:val="0"/>
        <w:adjustRightInd w:val="0"/>
        <w:spacing w:after="0" w:line="240" w:lineRule="auto"/>
        <w:jc w:val="both"/>
        <w:rPr>
          <w:rFonts w:asciiTheme="majorBidi" w:hAnsiTheme="majorBidi" w:cstheme="majorBidi"/>
          <w:sz w:val="24"/>
          <w:szCs w:val="24"/>
        </w:rPr>
      </w:pPr>
    </w:p>
    <w:p w:rsidR="000E09F7" w:rsidRDefault="000E09F7" w:rsidP="00927F80">
      <w:pPr>
        <w:autoSpaceDE w:val="0"/>
        <w:autoSpaceDN w:val="0"/>
        <w:adjustRightInd w:val="0"/>
        <w:spacing w:after="0" w:line="240" w:lineRule="auto"/>
        <w:jc w:val="both"/>
        <w:rPr>
          <w:rFonts w:asciiTheme="majorBidi" w:hAnsiTheme="majorBidi" w:cstheme="majorBidi"/>
          <w:sz w:val="24"/>
          <w:szCs w:val="24"/>
        </w:rPr>
      </w:pPr>
    </w:p>
    <w:p w:rsidR="000E09F7" w:rsidRDefault="000E09F7" w:rsidP="00927F80">
      <w:pPr>
        <w:autoSpaceDE w:val="0"/>
        <w:autoSpaceDN w:val="0"/>
        <w:adjustRightInd w:val="0"/>
        <w:spacing w:after="0" w:line="240" w:lineRule="auto"/>
        <w:jc w:val="both"/>
        <w:rPr>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4981575" cy="1962150"/>
            <wp:effectExtent l="19050" t="0" r="9525" b="0"/>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4981575" cy="1962150"/>
                    </a:xfrm>
                    <a:prstGeom prst="rect">
                      <a:avLst/>
                    </a:prstGeom>
                    <a:noFill/>
                    <a:ln w="9525">
                      <a:noFill/>
                      <a:miter lim="800000"/>
                      <a:headEnd/>
                      <a:tailEnd/>
                    </a:ln>
                  </pic:spPr>
                </pic:pic>
              </a:graphicData>
            </a:graphic>
          </wp:inline>
        </w:drawing>
      </w:r>
    </w:p>
    <w:p w:rsidR="000E09F7" w:rsidRDefault="000E09F7" w:rsidP="00927F80">
      <w:pPr>
        <w:autoSpaceDE w:val="0"/>
        <w:autoSpaceDN w:val="0"/>
        <w:adjustRightInd w:val="0"/>
        <w:spacing w:after="0" w:line="240" w:lineRule="auto"/>
        <w:jc w:val="both"/>
        <w:rPr>
          <w:rFonts w:asciiTheme="majorBidi" w:hAnsiTheme="majorBidi" w:cstheme="majorBidi"/>
          <w:sz w:val="24"/>
          <w:szCs w:val="24"/>
        </w:rPr>
      </w:pPr>
    </w:p>
    <w:p w:rsidR="000E09F7" w:rsidRPr="00AF3ECB" w:rsidRDefault="000E09F7" w:rsidP="00AF3ECB">
      <w:pPr>
        <w:autoSpaceDE w:val="0"/>
        <w:autoSpaceDN w:val="0"/>
        <w:adjustRightInd w:val="0"/>
        <w:spacing w:after="0" w:line="240" w:lineRule="auto"/>
        <w:rPr>
          <w:rFonts w:asciiTheme="majorBidi" w:hAnsiTheme="majorBidi" w:cstheme="majorBidi"/>
          <w:sz w:val="24"/>
          <w:szCs w:val="24"/>
        </w:rPr>
      </w:pPr>
      <w:r w:rsidRPr="00AF3ECB">
        <w:rPr>
          <w:rFonts w:asciiTheme="majorBidi" w:hAnsiTheme="majorBidi" w:cstheme="majorBidi"/>
          <w:sz w:val="24"/>
          <w:szCs w:val="24"/>
        </w:rPr>
        <w:t>Les quinones peuvent provenir de l'oxydation enzymatique des polyphenols selon</w:t>
      </w:r>
      <w:r w:rsidR="00AF3ECB">
        <w:rPr>
          <w:rFonts w:asciiTheme="majorBidi" w:hAnsiTheme="majorBidi" w:cstheme="majorBidi"/>
          <w:sz w:val="24"/>
          <w:szCs w:val="24"/>
        </w:rPr>
        <w:t xml:space="preserve"> </w:t>
      </w:r>
      <w:r w:rsidRPr="00AF3ECB">
        <w:rPr>
          <w:rFonts w:asciiTheme="majorBidi" w:hAnsiTheme="majorBidi" w:cstheme="majorBidi"/>
          <w:sz w:val="24"/>
          <w:szCs w:val="24"/>
        </w:rPr>
        <w:t>le schéma général :</w:t>
      </w:r>
    </w:p>
    <w:p w:rsidR="000E09F7" w:rsidRDefault="000E09F7" w:rsidP="000E09F7">
      <w:pPr>
        <w:autoSpaceDE w:val="0"/>
        <w:autoSpaceDN w:val="0"/>
        <w:adjustRightInd w:val="0"/>
        <w:spacing w:after="0" w:line="240" w:lineRule="auto"/>
        <w:jc w:val="both"/>
        <w:rPr>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5629275" cy="1962150"/>
            <wp:effectExtent l="19050" t="0" r="9525" b="0"/>
            <wp:docPr id="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5629275" cy="1962150"/>
                    </a:xfrm>
                    <a:prstGeom prst="rect">
                      <a:avLst/>
                    </a:prstGeom>
                    <a:noFill/>
                    <a:ln w="9525">
                      <a:noFill/>
                      <a:miter lim="800000"/>
                      <a:headEnd/>
                      <a:tailEnd/>
                    </a:ln>
                  </pic:spPr>
                </pic:pic>
              </a:graphicData>
            </a:graphic>
          </wp:inline>
        </w:drawing>
      </w:r>
    </w:p>
    <w:p w:rsidR="000E09F7" w:rsidRPr="00FD398D" w:rsidRDefault="000E09F7" w:rsidP="00FD398D">
      <w:pPr>
        <w:autoSpaceDE w:val="0"/>
        <w:autoSpaceDN w:val="0"/>
        <w:adjustRightInd w:val="0"/>
        <w:spacing w:after="0" w:line="240" w:lineRule="auto"/>
        <w:jc w:val="both"/>
        <w:rPr>
          <w:rFonts w:asciiTheme="majorBidi" w:hAnsiTheme="majorBidi" w:cstheme="majorBidi"/>
          <w:sz w:val="24"/>
          <w:szCs w:val="24"/>
        </w:rPr>
      </w:pPr>
      <w:r w:rsidRPr="00FD398D">
        <w:rPr>
          <w:rFonts w:asciiTheme="majorBidi" w:hAnsiTheme="majorBidi" w:cstheme="majorBidi"/>
          <w:b/>
          <w:bCs/>
          <w:sz w:val="24"/>
          <w:szCs w:val="24"/>
        </w:rPr>
        <w:t xml:space="preserve">4. Les pigments </w:t>
      </w:r>
      <w:r w:rsidRPr="00FD398D">
        <w:rPr>
          <w:rFonts w:asciiTheme="majorBidi" w:hAnsiTheme="majorBidi" w:cstheme="majorBidi"/>
          <w:sz w:val="24"/>
          <w:szCs w:val="24"/>
        </w:rPr>
        <w:t>qui se forment par brunissement enzymatique sont désignés par</w:t>
      </w:r>
      <w:r w:rsidR="00AF3ECB">
        <w:rPr>
          <w:rFonts w:asciiTheme="majorBidi" w:hAnsiTheme="majorBidi" w:cstheme="majorBidi"/>
          <w:sz w:val="24"/>
          <w:szCs w:val="24"/>
        </w:rPr>
        <w:t xml:space="preserve"> </w:t>
      </w:r>
      <w:r w:rsidRPr="00FD398D">
        <w:rPr>
          <w:rFonts w:asciiTheme="majorBidi" w:hAnsiTheme="majorBidi" w:cstheme="majorBidi"/>
          <w:sz w:val="24"/>
          <w:szCs w:val="24"/>
        </w:rPr>
        <w:t xml:space="preserve">le terme général de </w:t>
      </w:r>
      <w:r w:rsidRPr="00FD398D">
        <w:rPr>
          <w:rFonts w:asciiTheme="majorBidi" w:hAnsiTheme="majorBidi" w:cstheme="majorBidi"/>
          <w:b/>
          <w:bCs/>
          <w:sz w:val="24"/>
          <w:szCs w:val="24"/>
        </w:rPr>
        <w:t xml:space="preserve">mélanines. </w:t>
      </w:r>
      <w:r w:rsidRPr="00FD398D">
        <w:rPr>
          <w:rFonts w:asciiTheme="majorBidi" w:hAnsiTheme="majorBidi" w:cstheme="majorBidi"/>
          <w:sz w:val="24"/>
          <w:szCs w:val="24"/>
        </w:rPr>
        <w:t>Leur teinte finale est brun-noir mais on observe des</w:t>
      </w:r>
      <w:r w:rsidR="00FD398D" w:rsidRPr="00FD398D">
        <w:rPr>
          <w:rFonts w:asciiTheme="majorBidi" w:hAnsiTheme="majorBidi" w:cstheme="majorBidi"/>
          <w:sz w:val="24"/>
          <w:szCs w:val="24"/>
        </w:rPr>
        <w:t xml:space="preserve"> </w:t>
      </w:r>
      <w:r w:rsidRPr="00FD398D">
        <w:rPr>
          <w:rFonts w:asciiTheme="majorBidi" w:hAnsiTheme="majorBidi" w:cstheme="majorBidi"/>
          <w:sz w:val="24"/>
          <w:szCs w:val="24"/>
        </w:rPr>
        <w:t>teintes intermédiaires : rose, rouge, bleu-noir. La formation de ces polymères à partir</w:t>
      </w:r>
      <w:r w:rsidR="00FD398D" w:rsidRPr="00FD398D">
        <w:rPr>
          <w:rFonts w:asciiTheme="majorBidi" w:hAnsiTheme="majorBidi" w:cstheme="majorBidi"/>
          <w:sz w:val="24"/>
          <w:szCs w:val="24"/>
        </w:rPr>
        <w:t xml:space="preserve"> </w:t>
      </w:r>
      <w:r w:rsidRPr="00FD398D">
        <w:rPr>
          <w:rFonts w:asciiTheme="majorBidi" w:hAnsiTheme="majorBidi" w:cstheme="majorBidi"/>
          <w:sz w:val="24"/>
          <w:szCs w:val="24"/>
        </w:rPr>
        <w:t>des quinones, s'effectue sans l'intervention d'enzymes.</w:t>
      </w:r>
    </w:p>
    <w:p w:rsidR="000E09F7" w:rsidRPr="00FD398D" w:rsidRDefault="000E09F7" w:rsidP="00FD398D">
      <w:pPr>
        <w:autoSpaceDE w:val="0"/>
        <w:autoSpaceDN w:val="0"/>
        <w:adjustRightInd w:val="0"/>
        <w:spacing w:after="0" w:line="240" w:lineRule="auto"/>
        <w:jc w:val="both"/>
        <w:rPr>
          <w:rFonts w:asciiTheme="majorBidi" w:hAnsiTheme="majorBidi" w:cstheme="majorBidi"/>
          <w:sz w:val="24"/>
          <w:szCs w:val="24"/>
        </w:rPr>
      </w:pPr>
      <w:r w:rsidRPr="00FD398D">
        <w:rPr>
          <w:rFonts w:asciiTheme="majorBidi" w:hAnsiTheme="majorBidi" w:cstheme="majorBidi"/>
          <w:sz w:val="24"/>
          <w:szCs w:val="24"/>
        </w:rPr>
        <w:t>L'ensemble de ces réactions entraîne des problèmes de couleur avec certains fruits</w:t>
      </w:r>
      <w:r w:rsidR="00FD398D" w:rsidRPr="00FD398D">
        <w:rPr>
          <w:rFonts w:asciiTheme="majorBidi" w:hAnsiTheme="majorBidi" w:cstheme="majorBidi"/>
          <w:sz w:val="24"/>
          <w:szCs w:val="24"/>
        </w:rPr>
        <w:t xml:space="preserve"> </w:t>
      </w:r>
      <w:r w:rsidRPr="00FD398D">
        <w:rPr>
          <w:rFonts w:asciiTheme="majorBidi" w:hAnsiTheme="majorBidi" w:cstheme="majorBidi"/>
          <w:sz w:val="24"/>
          <w:szCs w:val="24"/>
        </w:rPr>
        <w:t>et légumes. Ainsi, lorsque les tissus de ces végétaux sont « malades » ou endommagés</w:t>
      </w:r>
      <w:r w:rsidR="00FD398D" w:rsidRPr="00FD398D">
        <w:rPr>
          <w:rFonts w:asciiTheme="majorBidi" w:hAnsiTheme="majorBidi" w:cstheme="majorBidi"/>
          <w:sz w:val="24"/>
          <w:szCs w:val="24"/>
        </w:rPr>
        <w:t xml:space="preserve"> </w:t>
      </w:r>
      <w:r w:rsidRPr="00FD398D">
        <w:rPr>
          <w:rFonts w:asciiTheme="majorBidi" w:hAnsiTheme="majorBidi" w:cstheme="majorBidi"/>
          <w:sz w:val="24"/>
          <w:szCs w:val="24"/>
        </w:rPr>
        <w:t>par chocs thermique ou mécanique, il se développe une teinte indésirable.</w:t>
      </w:r>
    </w:p>
    <w:p w:rsidR="000E09F7" w:rsidRPr="00FD398D" w:rsidRDefault="000E09F7" w:rsidP="00FD398D">
      <w:pPr>
        <w:autoSpaceDE w:val="0"/>
        <w:autoSpaceDN w:val="0"/>
        <w:adjustRightInd w:val="0"/>
        <w:spacing w:after="0" w:line="240" w:lineRule="auto"/>
        <w:jc w:val="both"/>
        <w:rPr>
          <w:rFonts w:asciiTheme="majorBidi" w:hAnsiTheme="majorBidi" w:cstheme="majorBidi"/>
          <w:sz w:val="24"/>
          <w:szCs w:val="24"/>
        </w:rPr>
      </w:pPr>
      <w:r w:rsidRPr="00FD398D">
        <w:rPr>
          <w:rFonts w:asciiTheme="majorBidi" w:hAnsiTheme="majorBidi" w:cstheme="majorBidi"/>
          <w:sz w:val="24"/>
          <w:szCs w:val="24"/>
        </w:rPr>
        <w:t>Parfois, cependant un certain stade de brunissement est recherché, par exemple, lors</w:t>
      </w:r>
      <w:r w:rsidR="00FD398D" w:rsidRPr="00FD398D">
        <w:rPr>
          <w:rFonts w:asciiTheme="majorBidi" w:hAnsiTheme="majorBidi" w:cstheme="majorBidi"/>
          <w:sz w:val="24"/>
          <w:szCs w:val="24"/>
        </w:rPr>
        <w:t xml:space="preserve"> </w:t>
      </w:r>
      <w:r w:rsidRPr="00FD398D">
        <w:rPr>
          <w:rFonts w:asciiTheme="majorBidi" w:hAnsiTheme="majorBidi" w:cstheme="majorBidi"/>
          <w:sz w:val="24"/>
          <w:szCs w:val="24"/>
        </w:rPr>
        <w:t>de la maturation ou du séchage de certains produits végétaux (dattes, fèves de cacao,</w:t>
      </w:r>
      <w:r w:rsidR="00FD398D" w:rsidRPr="00FD398D">
        <w:rPr>
          <w:rFonts w:asciiTheme="majorBidi" w:hAnsiTheme="majorBidi" w:cstheme="majorBidi"/>
          <w:sz w:val="24"/>
          <w:szCs w:val="24"/>
        </w:rPr>
        <w:t xml:space="preserve"> </w:t>
      </w:r>
      <w:r w:rsidRPr="00FD398D">
        <w:rPr>
          <w:rFonts w:asciiTheme="majorBidi" w:hAnsiTheme="majorBidi" w:cstheme="majorBidi"/>
          <w:sz w:val="24"/>
          <w:szCs w:val="24"/>
        </w:rPr>
        <w:t>thé...).</w:t>
      </w:r>
    </w:p>
    <w:p w:rsidR="000E09F7" w:rsidRPr="00FD398D" w:rsidRDefault="000E09F7" w:rsidP="00FD398D">
      <w:pPr>
        <w:autoSpaceDE w:val="0"/>
        <w:autoSpaceDN w:val="0"/>
        <w:adjustRightInd w:val="0"/>
        <w:spacing w:after="0" w:line="240" w:lineRule="auto"/>
        <w:jc w:val="both"/>
        <w:rPr>
          <w:rFonts w:asciiTheme="majorBidi" w:hAnsiTheme="majorBidi" w:cstheme="majorBidi"/>
          <w:sz w:val="24"/>
          <w:szCs w:val="24"/>
        </w:rPr>
      </w:pPr>
      <w:r w:rsidRPr="00FD398D">
        <w:rPr>
          <w:rFonts w:asciiTheme="majorBidi" w:hAnsiTheme="majorBidi" w:cstheme="majorBidi"/>
          <w:b/>
          <w:bCs/>
          <w:sz w:val="24"/>
          <w:szCs w:val="24"/>
        </w:rPr>
        <w:t xml:space="preserve">NB. </w:t>
      </w:r>
      <w:r w:rsidRPr="00FD398D">
        <w:rPr>
          <w:rFonts w:asciiTheme="majorBidi" w:hAnsiTheme="majorBidi" w:cstheme="majorBidi"/>
          <w:sz w:val="24"/>
          <w:szCs w:val="24"/>
        </w:rPr>
        <w:t>De nombreuses molécules appartenant au groupe des pigments (flavonols,</w:t>
      </w:r>
      <w:r w:rsidR="00FD398D" w:rsidRPr="00FD398D">
        <w:rPr>
          <w:rFonts w:asciiTheme="majorBidi" w:hAnsiTheme="majorBidi" w:cstheme="majorBidi"/>
          <w:sz w:val="24"/>
          <w:szCs w:val="24"/>
        </w:rPr>
        <w:t xml:space="preserve"> </w:t>
      </w:r>
      <w:r w:rsidRPr="00FD398D">
        <w:rPr>
          <w:rFonts w:asciiTheme="majorBidi" w:hAnsiTheme="majorBidi" w:cstheme="majorBidi"/>
          <w:sz w:val="24"/>
          <w:szCs w:val="24"/>
        </w:rPr>
        <w:t>flavonones, anthocyanidines, caroténoïdes, flavones, tannins,...) posséderaient des</w:t>
      </w:r>
      <w:r w:rsidR="00FD398D" w:rsidRPr="00FD398D">
        <w:rPr>
          <w:rFonts w:asciiTheme="majorBidi" w:hAnsiTheme="majorBidi" w:cstheme="majorBidi"/>
          <w:sz w:val="24"/>
          <w:szCs w:val="24"/>
        </w:rPr>
        <w:t xml:space="preserve"> </w:t>
      </w:r>
      <w:r w:rsidRPr="00FD398D">
        <w:rPr>
          <w:rFonts w:asciiTheme="majorBidi" w:hAnsiTheme="majorBidi" w:cstheme="majorBidi"/>
          <w:sz w:val="24"/>
          <w:szCs w:val="24"/>
        </w:rPr>
        <w:t>effets biologiques. Ces phytochimiques sont étudiés pour leurs effets anti-oxydants,</w:t>
      </w:r>
      <w:r w:rsidR="00FD398D" w:rsidRPr="00FD398D">
        <w:rPr>
          <w:rFonts w:asciiTheme="majorBidi" w:hAnsiTheme="majorBidi" w:cstheme="majorBidi"/>
          <w:sz w:val="24"/>
          <w:szCs w:val="24"/>
        </w:rPr>
        <w:t xml:space="preserve"> </w:t>
      </w:r>
      <w:r w:rsidRPr="00FD398D">
        <w:rPr>
          <w:rFonts w:asciiTheme="majorBidi" w:hAnsiTheme="majorBidi" w:cstheme="majorBidi"/>
          <w:sz w:val="24"/>
          <w:szCs w:val="24"/>
        </w:rPr>
        <w:t xml:space="preserve">antitumoraux, anti-inflammatoires dans des modèles cellulaires ou </w:t>
      </w:r>
      <w:r w:rsidRPr="00FD398D">
        <w:rPr>
          <w:rFonts w:asciiTheme="majorBidi" w:hAnsiTheme="majorBidi" w:cstheme="majorBidi"/>
          <w:i/>
          <w:iCs/>
          <w:sz w:val="24"/>
          <w:szCs w:val="24"/>
        </w:rPr>
        <w:t xml:space="preserve">in vitro. </w:t>
      </w:r>
      <w:r w:rsidRPr="00FD398D">
        <w:rPr>
          <w:rFonts w:asciiTheme="majorBidi" w:hAnsiTheme="majorBidi" w:cstheme="majorBidi"/>
          <w:sz w:val="24"/>
          <w:szCs w:val="24"/>
        </w:rPr>
        <w:t>L'extrapolation</w:t>
      </w:r>
      <w:r w:rsidR="00FD398D" w:rsidRPr="00FD398D">
        <w:rPr>
          <w:rFonts w:asciiTheme="majorBidi" w:hAnsiTheme="majorBidi" w:cstheme="majorBidi"/>
          <w:sz w:val="24"/>
          <w:szCs w:val="24"/>
        </w:rPr>
        <w:t xml:space="preserve"> </w:t>
      </w:r>
      <w:r w:rsidR="00AF3ECB" w:rsidRPr="00FD398D">
        <w:rPr>
          <w:rFonts w:asciiTheme="majorBidi" w:hAnsiTheme="majorBidi" w:cstheme="majorBidi"/>
          <w:sz w:val="24"/>
          <w:szCs w:val="24"/>
        </w:rPr>
        <w:t>à</w:t>
      </w:r>
      <w:r w:rsidRPr="00FD398D">
        <w:rPr>
          <w:rFonts w:asciiTheme="majorBidi" w:hAnsiTheme="majorBidi" w:cstheme="majorBidi"/>
          <w:sz w:val="24"/>
          <w:szCs w:val="24"/>
        </w:rPr>
        <w:t xml:space="preserve"> des effets sur la santé humaine, nécessite encore de nombreuses investigations.</w:t>
      </w:r>
    </w:p>
    <w:sectPr w:rsidR="000E09F7" w:rsidRPr="00FD398D" w:rsidSect="00AD6399">
      <w:footerReference w:type="default" r:id="rId16"/>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27E3" w:rsidRDefault="007E27E3" w:rsidP="00E3005B">
      <w:pPr>
        <w:spacing w:after="0" w:line="240" w:lineRule="auto"/>
      </w:pPr>
      <w:r>
        <w:separator/>
      </w:r>
    </w:p>
  </w:endnote>
  <w:endnote w:type="continuationSeparator" w:id="0">
    <w:p w:rsidR="007E27E3" w:rsidRDefault="007E27E3" w:rsidP="00E300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93848"/>
      <w:docPartObj>
        <w:docPartGallery w:val="Page Numbers (Bottom of Page)"/>
        <w:docPartUnique/>
      </w:docPartObj>
    </w:sdtPr>
    <w:sdtContent>
      <w:p w:rsidR="00E3005B" w:rsidRDefault="00984E38">
        <w:pPr>
          <w:pStyle w:val="Pieddepage"/>
          <w:jc w:val="right"/>
        </w:pPr>
        <w:fldSimple w:instr=" PAGE   \* MERGEFORMAT ">
          <w:r w:rsidR="00E9746A">
            <w:rPr>
              <w:noProof/>
            </w:rPr>
            <w:t>6</w:t>
          </w:r>
        </w:fldSimple>
      </w:p>
    </w:sdtContent>
  </w:sdt>
  <w:p w:rsidR="00E3005B" w:rsidRDefault="00E3005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27E3" w:rsidRDefault="007E27E3" w:rsidP="00E3005B">
      <w:pPr>
        <w:spacing w:after="0" w:line="240" w:lineRule="auto"/>
      </w:pPr>
      <w:r>
        <w:separator/>
      </w:r>
    </w:p>
  </w:footnote>
  <w:footnote w:type="continuationSeparator" w:id="0">
    <w:p w:rsidR="007E27E3" w:rsidRDefault="007E27E3" w:rsidP="00E300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E95366"/>
    <w:multiLevelType w:val="hybridMultilevel"/>
    <w:tmpl w:val="1A92AA86"/>
    <w:lvl w:ilvl="0" w:tplc="43A45902">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D541C2"/>
    <w:rsid w:val="000058EB"/>
    <w:rsid w:val="00010C9B"/>
    <w:rsid w:val="00012819"/>
    <w:rsid w:val="00012BF5"/>
    <w:rsid w:val="00022DEB"/>
    <w:rsid w:val="000271ED"/>
    <w:rsid w:val="00032326"/>
    <w:rsid w:val="00032BD8"/>
    <w:rsid w:val="00032F2A"/>
    <w:rsid w:val="000331B6"/>
    <w:rsid w:val="00035461"/>
    <w:rsid w:val="00042304"/>
    <w:rsid w:val="00046025"/>
    <w:rsid w:val="00047519"/>
    <w:rsid w:val="000478E4"/>
    <w:rsid w:val="00047E1C"/>
    <w:rsid w:val="00050159"/>
    <w:rsid w:val="00053392"/>
    <w:rsid w:val="00053FB1"/>
    <w:rsid w:val="0005454B"/>
    <w:rsid w:val="000572EE"/>
    <w:rsid w:val="00057488"/>
    <w:rsid w:val="00062452"/>
    <w:rsid w:val="000711CD"/>
    <w:rsid w:val="000848DD"/>
    <w:rsid w:val="000849DC"/>
    <w:rsid w:val="00086DB9"/>
    <w:rsid w:val="00087007"/>
    <w:rsid w:val="00087413"/>
    <w:rsid w:val="00087D90"/>
    <w:rsid w:val="00087DB1"/>
    <w:rsid w:val="00090C99"/>
    <w:rsid w:val="00090F56"/>
    <w:rsid w:val="000969BA"/>
    <w:rsid w:val="000A41D5"/>
    <w:rsid w:val="000A5FC2"/>
    <w:rsid w:val="000A7AC5"/>
    <w:rsid w:val="000B1988"/>
    <w:rsid w:val="000B2D70"/>
    <w:rsid w:val="000B68B6"/>
    <w:rsid w:val="000B7FE8"/>
    <w:rsid w:val="000C31B9"/>
    <w:rsid w:val="000C40D1"/>
    <w:rsid w:val="000C74A5"/>
    <w:rsid w:val="000C7577"/>
    <w:rsid w:val="000D17FE"/>
    <w:rsid w:val="000D401D"/>
    <w:rsid w:val="000D4062"/>
    <w:rsid w:val="000E094E"/>
    <w:rsid w:val="000E09F7"/>
    <w:rsid w:val="000E0CC0"/>
    <w:rsid w:val="000E1B5F"/>
    <w:rsid w:val="000E2419"/>
    <w:rsid w:val="000E32C6"/>
    <w:rsid w:val="000E361C"/>
    <w:rsid w:val="000E37D3"/>
    <w:rsid w:val="000E6D5E"/>
    <w:rsid w:val="000E7796"/>
    <w:rsid w:val="000F1541"/>
    <w:rsid w:val="000F7E9F"/>
    <w:rsid w:val="0010746A"/>
    <w:rsid w:val="001167F7"/>
    <w:rsid w:val="00117197"/>
    <w:rsid w:val="00117F31"/>
    <w:rsid w:val="00120F08"/>
    <w:rsid w:val="00120FFC"/>
    <w:rsid w:val="001221B5"/>
    <w:rsid w:val="00130CBA"/>
    <w:rsid w:val="001318A6"/>
    <w:rsid w:val="00133175"/>
    <w:rsid w:val="00135829"/>
    <w:rsid w:val="00137A1E"/>
    <w:rsid w:val="0014154F"/>
    <w:rsid w:val="001427EF"/>
    <w:rsid w:val="00143F8E"/>
    <w:rsid w:val="00145A68"/>
    <w:rsid w:val="00147C2D"/>
    <w:rsid w:val="001501A8"/>
    <w:rsid w:val="00154FC7"/>
    <w:rsid w:val="0015661F"/>
    <w:rsid w:val="00156659"/>
    <w:rsid w:val="00157F50"/>
    <w:rsid w:val="0016210A"/>
    <w:rsid w:val="00162A72"/>
    <w:rsid w:val="001661B9"/>
    <w:rsid w:val="00166E55"/>
    <w:rsid w:val="00171E19"/>
    <w:rsid w:val="00172017"/>
    <w:rsid w:val="00172E87"/>
    <w:rsid w:val="00173365"/>
    <w:rsid w:val="00180619"/>
    <w:rsid w:val="00182288"/>
    <w:rsid w:val="00184402"/>
    <w:rsid w:val="001874E7"/>
    <w:rsid w:val="00193F00"/>
    <w:rsid w:val="00195F75"/>
    <w:rsid w:val="00197BC8"/>
    <w:rsid w:val="001A34F2"/>
    <w:rsid w:val="001A4CF5"/>
    <w:rsid w:val="001B2B9F"/>
    <w:rsid w:val="001B2DF4"/>
    <w:rsid w:val="001B676B"/>
    <w:rsid w:val="001B7928"/>
    <w:rsid w:val="001C0608"/>
    <w:rsid w:val="001C3E05"/>
    <w:rsid w:val="001C5EEC"/>
    <w:rsid w:val="001D0220"/>
    <w:rsid w:val="001D19B0"/>
    <w:rsid w:val="001E1BE3"/>
    <w:rsid w:val="001E1CFB"/>
    <w:rsid w:val="001E6786"/>
    <w:rsid w:val="001E7ECC"/>
    <w:rsid w:val="001F2C80"/>
    <w:rsid w:val="001F2F87"/>
    <w:rsid w:val="001F43BD"/>
    <w:rsid w:val="001F66EE"/>
    <w:rsid w:val="0020332D"/>
    <w:rsid w:val="00206E0B"/>
    <w:rsid w:val="00210630"/>
    <w:rsid w:val="002134DA"/>
    <w:rsid w:val="002147A2"/>
    <w:rsid w:val="002162A2"/>
    <w:rsid w:val="00226BEF"/>
    <w:rsid w:val="0023072A"/>
    <w:rsid w:val="00232C9E"/>
    <w:rsid w:val="0023344B"/>
    <w:rsid w:val="00242616"/>
    <w:rsid w:val="00242BED"/>
    <w:rsid w:val="00243814"/>
    <w:rsid w:val="002557BC"/>
    <w:rsid w:val="00260B31"/>
    <w:rsid w:val="002621F3"/>
    <w:rsid w:val="00265670"/>
    <w:rsid w:val="002656B3"/>
    <w:rsid w:val="0027068F"/>
    <w:rsid w:val="00272965"/>
    <w:rsid w:val="00274E9D"/>
    <w:rsid w:val="00280F7A"/>
    <w:rsid w:val="00283611"/>
    <w:rsid w:val="00283FAA"/>
    <w:rsid w:val="00286767"/>
    <w:rsid w:val="0028690C"/>
    <w:rsid w:val="00286942"/>
    <w:rsid w:val="00292D50"/>
    <w:rsid w:val="002A2E32"/>
    <w:rsid w:val="002A3828"/>
    <w:rsid w:val="002A5A2B"/>
    <w:rsid w:val="002A64BD"/>
    <w:rsid w:val="002A6D6E"/>
    <w:rsid w:val="002A70E6"/>
    <w:rsid w:val="002B1C0D"/>
    <w:rsid w:val="002B4004"/>
    <w:rsid w:val="002B5611"/>
    <w:rsid w:val="002B6AE2"/>
    <w:rsid w:val="002C34EE"/>
    <w:rsid w:val="002C4399"/>
    <w:rsid w:val="002D061D"/>
    <w:rsid w:val="002D0712"/>
    <w:rsid w:val="002D15DB"/>
    <w:rsid w:val="002D3008"/>
    <w:rsid w:val="002D46CD"/>
    <w:rsid w:val="002D63B3"/>
    <w:rsid w:val="002D7090"/>
    <w:rsid w:val="002E2991"/>
    <w:rsid w:val="002E3DAE"/>
    <w:rsid w:val="002F009A"/>
    <w:rsid w:val="00300D14"/>
    <w:rsid w:val="0030421C"/>
    <w:rsid w:val="003101E6"/>
    <w:rsid w:val="00310C50"/>
    <w:rsid w:val="0031238B"/>
    <w:rsid w:val="0031515F"/>
    <w:rsid w:val="0031563F"/>
    <w:rsid w:val="00315D1F"/>
    <w:rsid w:val="00315FD0"/>
    <w:rsid w:val="003168CB"/>
    <w:rsid w:val="00317905"/>
    <w:rsid w:val="003211C1"/>
    <w:rsid w:val="0032178A"/>
    <w:rsid w:val="00323B05"/>
    <w:rsid w:val="0032536E"/>
    <w:rsid w:val="00326232"/>
    <w:rsid w:val="00331C1E"/>
    <w:rsid w:val="003328D6"/>
    <w:rsid w:val="00333AD3"/>
    <w:rsid w:val="00341079"/>
    <w:rsid w:val="00341D33"/>
    <w:rsid w:val="00342585"/>
    <w:rsid w:val="00346F69"/>
    <w:rsid w:val="0034781D"/>
    <w:rsid w:val="00350F3E"/>
    <w:rsid w:val="0035101A"/>
    <w:rsid w:val="00351546"/>
    <w:rsid w:val="00356B5D"/>
    <w:rsid w:val="00362296"/>
    <w:rsid w:val="00362629"/>
    <w:rsid w:val="003628BB"/>
    <w:rsid w:val="00365A33"/>
    <w:rsid w:val="00365B9E"/>
    <w:rsid w:val="0036675C"/>
    <w:rsid w:val="00373D84"/>
    <w:rsid w:val="00376A64"/>
    <w:rsid w:val="00383ADB"/>
    <w:rsid w:val="003870C1"/>
    <w:rsid w:val="003912C2"/>
    <w:rsid w:val="0039166B"/>
    <w:rsid w:val="003928EB"/>
    <w:rsid w:val="003959F1"/>
    <w:rsid w:val="00397865"/>
    <w:rsid w:val="003A1DEA"/>
    <w:rsid w:val="003A2179"/>
    <w:rsid w:val="003A21D3"/>
    <w:rsid w:val="003A7DB4"/>
    <w:rsid w:val="003B0280"/>
    <w:rsid w:val="003B0668"/>
    <w:rsid w:val="003B20EC"/>
    <w:rsid w:val="003B672B"/>
    <w:rsid w:val="003B7E1E"/>
    <w:rsid w:val="003C166C"/>
    <w:rsid w:val="003C3A8C"/>
    <w:rsid w:val="003D1DC6"/>
    <w:rsid w:val="003D2F1F"/>
    <w:rsid w:val="003D7AC3"/>
    <w:rsid w:val="003E53CE"/>
    <w:rsid w:val="003F3213"/>
    <w:rsid w:val="003F4947"/>
    <w:rsid w:val="003F4E85"/>
    <w:rsid w:val="003F6D4D"/>
    <w:rsid w:val="004008AD"/>
    <w:rsid w:val="004022D2"/>
    <w:rsid w:val="00410620"/>
    <w:rsid w:val="00410A23"/>
    <w:rsid w:val="004114B2"/>
    <w:rsid w:val="00420C80"/>
    <w:rsid w:val="00421873"/>
    <w:rsid w:val="00423B77"/>
    <w:rsid w:val="00423DEF"/>
    <w:rsid w:val="00423F46"/>
    <w:rsid w:val="00427C90"/>
    <w:rsid w:val="00433D3C"/>
    <w:rsid w:val="00434C09"/>
    <w:rsid w:val="004369CF"/>
    <w:rsid w:val="0044393F"/>
    <w:rsid w:val="0044448C"/>
    <w:rsid w:val="0044570A"/>
    <w:rsid w:val="00455A87"/>
    <w:rsid w:val="0045790C"/>
    <w:rsid w:val="00457C07"/>
    <w:rsid w:val="0046228E"/>
    <w:rsid w:val="0046350D"/>
    <w:rsid w:val="004656F9"/>
    <w:rsid w:val="00466F01"/>
    <w:rsid w:val="00471106"/>
    <w:rsid w:val="0047732E"/>
    <w:rsid w:val="00481A9E"/>
    <w:rsid w:val="00482EAF"/>
    <w:rsid w:val="00485F6D"/>
    <w:rsid w:val="004910E2"/>
    <w:rsid w:val="00491C94"/>
    <w:rsid w:val="00496885"/>
    <w:rsid w:val="004969A4"/>
    <w:rsid w:val="00497816"/>
    <w:rsid w:val="004A24AE"/>
    <w:rsid w:val="004A3F6E"/>
    <w:rsid w:val="004A61BB"/>
    <w:rsid w:val="004A669F"/>
    <w:rsid w:val="004B4AC1"/>
    <w:rsid w:val="004B705D"/>
    <w:rsid w:val="004C050A"/>
    <w:rsid w:val="004C2C59"/>
    <w:rsid w:val="004C34DE"/>
    <w:rsid w:val="004C6D17"/>
    <w:rsid w:val="004D091C"/>
    <w:rsid w:val="004D2695"/>
    <w:rsid w:val="004D26B3"/>
    <w:rsid w:val="004D3240"/>
    <w:rsid w:val="004D5E51"/>
    <w:rsid w:val="004D6914"/>
    <w:rsid w:val="004E08C9"/>
    <w:rsid w:val="004E0B2F"/>
    <w:rsid w:val="004E162C"/>
    <w:rsid w:val="004E3622"/>
    <w:rsid w:val="004E3B47"/>
    <w:rsid w:val="004E62AD"/>
    <w:rsid w:val="004E7654"/>
    <w:rsid w:val="004F0364"/>
    <w:rsid w:val="004F5994"/>
    <w:rsid w:val="004F7195"/>
    <w:rsid w:val="00501FB5"/>
    <w:rsid w:val="00502ACF"/>
    <w:rsid w:val="00503B60"/>
    <w:rsid w:val="0050647C"/>
    <w:rsid w:val="00510D5C"/>
    <w:rsid w:val="00512DAF"/>
    <w:rsid w:val="00512EF9"/>
    <w:rsid w:val="00514D4C"/>
    <w:rsid w:val="005219EF"/>
    <w:rsid w:val="0052650B"/>
    <w:rsid w:val="00526646"/>
    <w:rsid w:val="00527BBD"/>
    <w:rsid w:val="00531B80"/>
    <w:rsid w:val="0053568B"/>
    <w:rsid w:val="00536039"/>
    <w:rsid w:val="00540861"/>
    <w:rsid w:val="00541981"/>
    <w:rsid w:val="00546A38"/>
    <w:rsid w:val="00546EFF"/>
    <w:rsid w:val="005571DB"/>
    <w:rsid w:val="00560F95"/>
    <w:rsid w:val="0056262D"/>
    <w:rsid w:val="005654B1"/>
    <w:rsid w:val="00567101"/>
    <w:rsid w:val="0057259D"/>
    <w:rsid w:val="005727A6"/>
    <w:rsid w:val="00575A8D"/>
    <w:rsid w:val="00575FD2"/>
    <w:rsid w:val="00576432"/>
    <w:rsid w:val="00580509"/>
    <w:rsid w:val="00580A42"/>
    <w:rsid w:val="005863FB"/>
    <w:rsid w:val="00587267"/>
    <w:rsid w:val="005963CC"/>
    <w:rsid w:val="005A040D"/>
    <w:rsid w:val="005A0D70"/>
    <w:rsid w:val="005A3A4B"/>
    <w:rsid w:val="005B12CF"/>
    <w:rsid w:val="005B1412"/>
    <w:rsid w:val="005B174A"/>
    <w:rsid w:val="005B1B6C"/>
    <w:rsid w:val="005B5889"/>
    <w:rsid w:val="005C172F"/>
    <w:rsid w:val="005C3F8A"/>
    <w:rsid w:val="005C4860"/>
    <w:rsid w:val="005C5F38"/>
    <w:rsid w:val="005C6539"/>
    <w:rsid w:val="005C6D04"/>
    <w:rsid w:val="005D0E1C"/>
    <w:rsid w:val="005D4480"/>
    <w:rsid w:val="005E0598"/>
    <w:rsid w:val="005E153C"/>
    <w:rsid w:val="005E1618"/>
    <w:rsid w:val="005E2EDC"/>
    <w:rsid w:val="005E67B7"/>
    <w:rsid w:val="005F27F3"/>
    <w:rsid w:val="005F2DED"/>
    <w:rsid w:val="005F7075"/>
    <w:rsid w:val="005F7EE2"/>
    <w:rsid w:val="006001D8"/>
    <w:rsid w:val="00603171"/>
    <w:rsid w:val="00605ED8"/>
    <w:rsid w:val="00606C88"/>
    <w:rsid w:val="0061151E"/>
    <w:rsid w:val="006119A0"/>
    <w:rsid w:val="00611AE7"/>
    <w:rsid w:val="00612385"/>
    <w:rsid w:val="0061259B"/>
    <w:rsid w:val="006133B5"/>
    <w:rsid w:val="00616167"/>
    <w:rsid w:val="00621340"/>
    <w:rsid w:val="00624EB3"/>
    <w:rsid w:val="00630F54"/>
    <w:rsid w:val="006326EE"/>
    <w:rsid w:val="0064127B"/>
    <w:rsid w:val="00641971"/>
    <w:rsid w:val="0064245E"/>
    <w:rsid w:val="00644ACF"/>
    <w:rsid w:val="00644DC8"/>
    <w:rsid w:val="00651E91"/>
    <w:rsid w:val="006630CC"/>
    <w:rsid w:val="0066610D"/>
    <w:rsid w:val="00666740"/>
    <w:rsid w:val="00670B7A"/>
    <w:rsid w:val="00670FAC"/>
    <w:rsid w:val="0067203E"/>
    <w:rsid w:val="006726FE"/>
    <w:rsid w:val="00673222"/>
    <w:rsid w:val="006755E0"/>
    <w:rsid w:val="00675FA2"/>
    <w:rsid w:val="00676B06"/>
    <w:rsid w:val="00677336"/>
    <w:rsid w:val="006803A2"/>
    <w:rsid w:val="00680483"/>
    <w:rsid w:val="00682B5D"/>
    <w:rsid w:val="00682D26"/>
    <w:rsid w:val="00683DA0"/>
    <w:rsid w:val="00684BF9"/>
    <w:rsid w:val="00690254"/>
    <w:rsid w:val="006956F2"/>
    <w:rsid w:val="00696922"/>
    <w:rsid w:val="006977D0"/>
    <w:rsid w:val="006A49ED"/>
    <w:rsid w:val="006B02A0"/>
    <w:rsid w:val="006B278C"/>
    <w:rsid w:val="006B70D6"/>
    <w:rsid w:val="006C1BB6"/>
    <w:rsid w:val="006C5CB7"/>
    <w:rsid w:val="006C5F90"/>
    <w:rsid w:val="006C6D28"/>
    <w:rsid w:val="006C743F"/>
    <w:rsid w:val="006C75DB"/>
    <w:rsid w:val="006D0C22"/>
    <w:rsid w:val="006D0C4B"/>
    <w:rsid w:val="006D53EB"/>
    <w:rsid w:val="006E2AFB"/>
    <w:rsid w:val="006E40D9"/>
    <w:rsid w:val="006E5BA1"/>
    <w:rsid w:val="006F049E"/>
    <w:rsid w:val="006F2284"/>
    <w:rsid w:val="006F325E"/>
    <w:rsid w:val="006F49D8"/>
    <w:rsid w:val="00700A9A"/>
    <w:rsid w:val="0070217C"/>
    <w:rsid w:val="007021CE"/>
    <w:rsid w:val="00702936"/>
    <w:rsid w:val="00702DC7"/>
    <w:rsid w:val="00710266"/>
    <w:rsid w:val="00713C0C"/>
    <w:rsid w:val="00717828"/>
    <w:rsid w:val="00720B8C"/>
    <w:rsid w:val="00725742"/>
    <w:rsid w:val="007313D7"/>
    <w:rsid w:val="00732007"/>
    <w:rsid w:val="00734B4D"/>
    <w:rsid w:val="00740775"/>
    <w:rsid w:val="00742C5D"/>
    <w:rsid w:val="00743A50"/>
    <w:rsid w:val="00745099"/>
    <w:rsid w:val="00751881"/>
    <w:rsid w:val="00751CBD"/>
    <w:rsid w:val="0075450F"/>
    <w:rsid w:val="0075480E"/>
    <w:rsid w:val="00754F13"/>
    <w:rsid w:val="00757A6D"/>
    <w:rsid w:val="007632C9"/>
    <w:rsid w:val="0076529C"/>
    <w:rsid w:val="00765764"/>
    <w:rsid w:val="00767957"/>
    <w:rsid w:val="007700FE"/>
    <w:rsid w:val="0077028C"/>
    <w:rsid w:val="00773D24"/>
    <w:rsid w:val="00777FEC"/>
    <w:rsid w:val="00780C12"/>
    <w:rsid w:val="0078108A"/>
    <w:rsid w:val="00785661"/>
    <w:rsid w:val="00791716"/>
    <w:rsid w:val="00793C94"/>
    <w:rsid w:val="007A365F"/>
    <w:rsid w:val="007A4889"/>
    <w:rsid w:val="007A4E3C"/>
    <w:rsid w:val="007A694B"/>
    <w:rsid w:val="007A74CD"/>
    <w:rsid w:val="007B2FDB"/>
    <w:rsid w:val="007B37C7"/>
    <w:rsid w:val="007B6222"/>
    <w:rsid w:val="007B69E9"/>
    <w:rsid w:val="007C483A"/>
    <w:rsid w:val="007C535A"/>
    <w:rsid w:val="007D061E"/>
    <w:rsid w:val="007D2F84"/>
    <w:rsid w:val="007D4936"/>
    <w:rsid w:val="007D5BD7"/>
    <w:rsid w:val="007D7D97"/>
    <w:rsid w:val="007E2663"/>
    <w:rsid w:val="007E27E3"/>
    <w:rsid w:val="007F0310"/>
    <w:rsid w:val="007F48D5"/>
    <w:rsid w:val="007F571D"/>
    <w:rsid w:val="007F5F49"/>
    <w:rsid w:val="007F6B68"/>
    <w:rsid w:val="008006E0"/>
    <w:rsid w:val="00802543"/>
    <w:rsid w:val="0080390F"/>
    <w:rsid w:val="00805A05"/>
    <w:rsid w:val="00810A21"/>
    <w:rsid w:val="00811DEA"/>
    <w:rsid w:val="00821212"/>
    <w:rsid w:val="00821692"/>
    <w:rsid w:val="00822D87"/>
    <w:rsid w:val="00823B82"/>
    <w:rsid w:val="00824B3B"/>
    <w:rsid w:val="00825C2C"/>
    <w:rsid w:val="00826785"/>
    <w:rsid w:val="0083144B"/>
    <w:rsid w:val="008354BD"/>
    <w:rsid w:val="008411FC"/>
    <w:rsid w:val="00841C3B"/>
    <w:rsid w:val="0084595E"/>
    <w:rsid w:val="00852D13"/>
    <w:rsid w:val="00853878"/>
    <w:rsid w:val="0085515C"/>
    <w:rsid w:val="008577C9"/>
    <w:rsid w:val="0086021D"/>
    <w:rsid w:val="008607A0"/>
    <w:rsid w:val="00861FE1"/>
    <w:rsid w:val="00862019"/>
    <w:rsid w:val="00863F09"/>
    <w:rsid w:val="00866871"/>
    <w:rsid w:val="008740F4"/>
    <w:rsid w:val="00874A46"/>
    <w:rsid w:val="00874CD8"/>
    <w:rsid w:val="0087643C"/>
    <w:rsid w:val="00877F44"/>
    <w:rsid w:val="00880008"/>
    <w:rsid w:val="00883711"/>
    <w:rsid w:val="00883B8F"/>
    <w:rsid w:val="008906F9"/>
    <w:rsid w:val="008979CA"/>
    <w:rsid w:val="008A136E"/>
    <w:rsid w:val="008A253A"/>
    <w:rsid w:val="008A64E0"/>
    <w:rsid w:val="008A66E6"/>
    <w:rsid w:val="008A6C67"/>
    <w:rsid w:val="008A7F70"/>
    <w:rsid w:val="008B1421"/>
    <w:rsid w:val="008B44EA"/>
    <w:rsid w:val="008B479E"/>
    <w:rsid w:val="008B5DAF"/>
    <w:rsid w:val="008B6A7B"/>
    <w:rsid w:val="008C0548"/>
    <w:rsid w:val="008C0586"/>
    <w:rsid w:val="008C297C"/>
    <w:rsid w:val="008C33E6"/>
    <w:rsid w:val="008C6D86"/>
    <w:rsid w:val="008C7D91"/>
    <w:rsid w:val="008D270C"/>
    <w:rsid w:val="008D303E"/>
    <w:rsid w:val="008D3687"/>
    <w:rsid w:val="008E1205"/>
    <w:rsid w:val="008E745F"/>
    <w:rsid w:val="008F0555"/>
    <w:rsid w:val="008F41C0"/>
    <w:rsid w:val="008F5EF8"/>
    <w:rsid w:val="008F5FFD"/>
    <w:rsid w:val="009031AC"/>
    <w:rsid w:val="009063EA"/>
    <w:rsid w:val="00906649"/>
    <w:rsid w:val="0091579D"/>
    <w:rsid w:val="009176AC"/>
    <w:rsid w:val="00920FEA"/>
    <w:rsid w:val="00921E43"/>
    <w:rsid w:val="00925DDC"/>
    <w:rsid w:val="00925FE2"/>
    <w:rsid w:val="009278D5"/>
    <w:rsid w:val="00927F80"/>
    <w:rsid w:val="00930DD8"/>
    <w:rsid w:val="00931644"/>
    <w:rsid w:val="009331E1"/>
    <w:rsid w:val="00934DE4"/>
    <w:rsid w:val="009404B4"/>
    <w:rsid w:val="00940E9B"/>
    <w:rsid w:val="00944421"/>
    <w:rsid w:val="009446D1"/>
    <w:rsid w:val="00946C17"/>
    <w:rsid w:val="0094798A"/>
    <w:rsid w:val="009520F1"/>
    <w:rsid w:val="009625CC"/>
    <w:rsid w:val="009626CB"/>
    <w:rsid w:val="00962AEF"/>
    <w:rsid w:val="00963A09"/>
    <w:rsid w:val="0096459F"/>
    <w:rsid w:val="00964605"/>
    <w:rsid w:val="0096672E"/>
    <w:rsid w:val="00970AA9"/>
    <w:rsid w:val="009718D3"/>
    <w:rsid w:val="00973A83"/>
    <w:rsid w:val="0097452F"/>
    <w:rsid w:val="00977096"/>
    <w:rsid w:val="009814AB"/>
    <w:rsid w:val="009831B2"/>
    <w:rsid w:val="00983243"/>
    <w:rsid w:val="00984E38"/>
    <w:rsid w:val="0098618A"/>
    <w:rsid w:val="00986D71"/>
    <w:rsid w:val="00986F36"/>
    <w:rsid w:val="00993D04"/>
    <w:rsid w:val="00995A15"/>
    <w:rsid w:val="009A5219"/>
    <w:rsid w:val="009B4C0C"/>
    <w:rsid w:val="009B5045"/>
    <w:rsid w:val="009B6018"/>
    <w:rsid w:val="009C063C"/>
    <w:rsid w:val="009C091B"/>
    <w:rsid w:val="009C12DA"/>
    <w:rsid w:val="009C26B2"/>
    <w:rsid w:val="009C5006"/>
    <w:rsid w:val="009C57C4"/>
    <w:rsid w:val="009C63F1"/>
    <w:rsid w:val="009D0E22"/>
    <w:rsid w:val="009D48D7"/>
    <w:rsid w:val="009D5D1F"/>
    <w:rsid w:val="009E3CEF"/>
    <w:rsid w:val="009E5BCB"/>
    <w:rsid w:val="009E7F1A"/>
    <w:rsid w:val="009F0F60"/>
    <w:rsid w:val="009F1D3B"/>
    <w:rsid w:val="009F2F1B"/>
    <w:rsid w:val="009F4CAE"/>
    <w:rsid w:val="009F7505"/>
    <w:rsid w:val="00A01F52"/>
    <w:rsid w:val="00A05370"/>
    <w:rsid w:val="00A10A73"/>
    <w:rsid w:val="00A13EE4"/>
    <w:rsid w:val="00A16D6D"/>
    <w:rsid w:val="00A200BE"/>
    <w:rsid w:val="00A2187B"/>
    <w:rsid w:val="00A21EC8"/>
    <w:rsid w:val="00A22EFF"/>
    <w:rsid w:val="00A26F89"/>
    <w:rsid w:val="00A32C60"/>
    <w:rsid w:val="00A34650"/>
    <w:rsid w:val="00A36464"/>
    <w:rsid w:val="00A36CAB"/>
    <w:rsid w:val="00A406BC"/>
    <w:rsid w:val="00A41B7F"/>
    <w:rsid w:val="00A41D30"/>
    <w:rsid w:val="00A46442"/>
    <w:rsid w:val="00A46D8D"/>
    <w:rsid w:val="00A509A4"/>
    <w:rsid w:val="00A54663"/>
    <w:rsid w:val="00A552AC"/>
    <w:rsid w:val="00A56B87"/>
    <w:rsid w:val="00A570B1"/>
    <w:rsid w:val="00A71122"/>
    <w:rsid w:val="00A718D1"/>
    <w:rsid w:val="00A71CE2"/>
    <w:rsid w:val="00A72795"/>
    <w:rsid w:val="00A74DDF"/>
    <w:rsid w:val="00A762A7"/>
    <w:rsid w:val="00A7700C"/>
    <w:rsid w:val="00A81B59"/>
    <w:rsid w:val="00A81B73"/>
    <w:rsid w:val="00A82205"/>
    <w:rsid w:val="00A868B5"/>
    <w:rsid w:val="00A91776"/>
    <w:rsid w:val="00A94747"/>
    <w:rsid w:val="00A94755"/>
    <w:rsid w:val="00A96A07"/>
    <w:rsid w:val="00AA0AF5"/>
    <w:rsid w:val="00AA0D83"/>
    <w:rsid w:val="00AA1D31"/>
    <w:rsid w:val="00AA3769"/>
    <w:rsid w:val="00AA5CB5"/>
    <w:rsid w:val="00AA68BE"/>
    <w:rsid w:val="00AB27CB"/>
    <w:rsid w:val="00AB3550"/>
    <w:rsid w:val="00AC0141"/>
    <w:rsid w:val="00AC0571"/>
    <w:rsid w:val="00AC085D"/>
    <w:rsid w:val="00AC132A"/>
    <w:rsid w:val="00AC1844"/>
    <w:rsid w:val="00AC4A0F"/>
    <w:rsid w:val="00AD1BEF"/>
    <w:rsid w:val="00AD1D40"/>
    <w:rsid w:val="00AD6399"/>
    <w:rsid w:val="00AE13EE"/>
    <w:rsid w:val="00AE4D9A"/>
    <w:rsid w:val="00AE5D7B"/>
    <w:rsid w:val="00AE5FFE"/>
    <w:rsid w:val="00AF00F8"/>
    <w:rsid w:val="00AF062A"/>
    <w:rsid w:val="00AF1966"/>
    <w:rsid w:val="00AF1FAF"/>
    <w:rsid w:val="00AF2C4F"/>
    <w:rsid w:val="00AF3ECB"/>
    <w:rsid w:val="00AF4165"/>
    <w:rsid w:val="00AF4D5D"/>
    <w:rsid w:val="00B046A3"/>
    <w:rsid w:val="00B111D3"/>
    <w:rsid w:val="00B140CC"/>
    <w:rsid w:val="00B14731"/>
    <w:rsid w:val="00B14F3F"/>
    <w:rsid w:val="00B15000"/>
    <w:rsid w:val="00B162F5"/>
    <w:rsid w:val="00B1741D"/>
    <w:rsid w:val="00B2027B"/>
    <w:rsid w:val="00B27F32"/>
    <w:rsid w:val="00B31BD9"/>
    <w:rsid w:val="00B35984"/>
    <w:rsid w:val="00B40A0F"/>
    <w:rsid w:val="00B41865"/>
    <w:rsid w:val="00B41942"/>
    <w:rsid w:val="00B42CBF"/>
    <w:rsid w:val="00B458CE"/>
    <w:rsid w:val="00B4698F"/>
    <w:rsid w:val="00B51644"/>
    <w:rsid w:val="00B54BB8"/>
    <w:rsid w:val="00B55BC8"/>
    <w:rsid w:val="00B56622"/>
    <w:rsid w:val="00B57967"/>
    <w:rsid w:val="00B6008D"/>
    <w:rsid w:val="00B606CF"/>
    <w:rsid w:val="00B60A38"/>
    <w:rsid w:val="00B66783"/>
    <w:rsid w:val="00B740AC"/>
    <w:rsid w:val="00B7675A"/>
    <w:rsid w:val="00B76A2F"/>
    <w:rsid w:val="00B77A70"/>
    <w:rsid w:val="00B82627"/>
    <w:rsid w:val="00B85ABD"/>
    <w:rsid w:val="00B87A07"/>
    <w:rsid w:val="00B932CF"/>
    <w:rsid w:val="00B936EB"/>
    <w:rsid w:val="00B94D87"/>
    <w:rsid w:val="00B955E1"/>
    <w:rsid w:val="00B956F5"/>
    <w:rsid w:val="00B9684D"/>
    <w:rsid w:val="00BA3B72"/>
    <w:rsid w:val="00BA44AF"/>
    <w:rsid w:val="00BA4BA9"/>
    <w:rsid w:val="00BA4CCD"/>
    <w:rsid w:val="00BA7DB9"/>
    <w:rsid w:val="00BB028A"/>
    <w:rsid w:val="00BB0F42"/>
    <w:rsid w:val="00BB4EF7"/>
    <w:rsid w:val="00BC254B"/>
    <w:rsid w:val="00BC57D3"/>
    <w:rsid w:val="00BD3C17"/>
    <w:rsid w:val="00BD557E"/>
    <w:rsid w:val="00BE0AB1"/>
    <w:rsid w:val="00BE3F7E"/>
    <w:rsid w:val="00BE3FCA"/>
    <w:rsid w:val="00BF54F3"/>
    <w:rsid w:val="00BF641E"/>
    <w:rsid w:val="00BF66E5"/>
    <w:rsid w:val="00BF75DC"/>
    <w:rsid w:val="00C01748"/>
    <w:rsid w:val="00C027EF"/>
    <w:rsid w:val="00C11FAE"/>
    <w:rsid w:val="00C12C51"/>
    <w:rsid w:val="00C15F03"/>
    <w:rsid w:val="00C15FFF"/>
    <w:rsid w:val="00C2002E"/>
    <w:rsid w:val="00C2075D"/>
    <w:rsid w:val="00C23CB6"/>
    <w:rsid w:val="00C2724A"/>
    <w:rsid w:val="00C27DC6"/>
    <w:rsid w:val="00C31705"/>
    <w:rsid w:val="00C31D22"/>
    <w:rsid w:val="00C33E40"/>
    <w:rsid w:val="00C34B00"/>
    <w:rsid w:val="00C37683"/>
    <w:rsid w:val="00C45860"/>
    <w:rsid w:val="00C5047B"/>
    <w:rsid w:val="00C5096D"/>
    <w:rsid w:val="00C53585"/>
    <w:rsid w:val="00C53B27"/>
    <w:rsid w:val="00C54364"/>
    <w:rsid w:val="00C54647"/>
    <w:rsid w:val="00C55CFE"/>
    <w:rsid w:val="00C60C3F"/>
    <w:rsid w:val="00C61155"/>
    <w:rsid w:val="00C71F7C"/>
    <w:rsid w:val="00C72839"/>
    <w:rsid w:val="00C7294C"/>
    <w:rsid w:val="00C74AB3"/>
    <w:rsid w:val="00C810DD"/>
    <w:rsid w:val="00C81FA7"/>
    <w:rsid w:val="00C82219"/>
    <w:rsid w:val="00C8232F"/>
    <w:rsid w:val="00C83EEB"/>
    <w:rsid w:val="00C84D66"/>
    <w:rsid w:val="00C85010"/>
    <w:rsid w:val="00C850BF"/>
    <w:rsid w:val="00C86BFB"/>
    <w:rsid w:val="00C915DD"/>
    <w:rsid w:val="00C94AEA"/>
    <w:rsid w:val="00C94EE0"/>
    <w:rsid w:val="00CA0F57"/>
    <w:rsid w:val="00CA142F"/>
    <w:rsid w:val="00CA38A1"/>
    <w:rsid w:val="00CA3A23"/>
    <w:rsid w:val="00CA6A2E"/>
    <w:rsid w:val="00CB0BCB"/>
    <w:rsid w:val="00CB1ACE"/>
    <w:rsid w:val="00CB1BDB"/>
    <w:rsid w:val="00CB542D"/>
    <w:rsid w:val="00CC0325"/>
    <w:rsid w:val="00CC06CA"/>
    <w:rsid w:val="00CC2C0B"/>
    <w:rsid w:val="00CC51F8"/>
    <w:rsid w:val="00CC6F10"/>
    <w:rsid w:val="00CC786E"/>
    <w:rsid w:val="00CC7AAB"/>
    <w:rsid w:val="00CD1D51"/>
    <w:rsid w:val="00CD3A23"/>
    <w:rsid w:val="00CD3A6D"/>
    <w:rsid w:val="00CD4BB6"/>
    <w:rsid w:val="00CE1A7C"/>
    <w:rsid w:val="00CE3EB9"/>
    <w:rsid w:val="00CE5284"/>
    <w:rsid w:val="00CF0229"/>
    <w:rsid w:val="00CF148E"/>
    <w:rsid w:val="00CF6B2D"/>
    <w:rsid w:val="00D00A95"/>
    <w:rsid w:val="00D027F1"/>
    <w:rsid w:val="00D03D21"/>
    <w:rsid w:val="00D065C6"/>
    <w:rsid w:val="00D07589"/>
    <w:rsid w:val="00D110C5"/>
    <w:rsid w:val="00D11145"/>
    <w:rsid w:val="00D12476"/>
    <w:rsid w:val="00D14453"/>
    <w:rsid w:val="00D15B58"/>
    <w:rsid w:val="00D17774"/>
    <w:rsid w:val="00D23540"/>
    <w:rsid w:val="00D23E40"/>
    <w:rsid w:val="00D23FD2"/>
    <w:rsid w:val="00D31852"/>
    <w:rsid w:val="00D3654E"/>
    <w:rsid w:val="00D41BBB"/>
    <w:rsid w:val="00D43D06"/>
    <w:rsid w:val="00D4514C"/>
    <w:rsid w:val="00D471DC"/>
    <w:rsid w:val="00D474B6"/>
    <w:rsid w:val="00D50684"/>
    <w:rsid w:val="00D518AC"/>
    <w:rsid w:val="00D541C2"/>
    <w:rsid w:val="00D54D2C"/>
    <w:rsid w:val="00D60E75"/>
    <w:rsid w:val="00D645AF"/>
    <w:rsid w:val="00D6465C"/>
    <w:rsid w:val="00D67533"/>
    <w:rsid w:val="00D67F65"/>
    <w:rsid w:val="00D709EF"/>
    <w:rsid w:val="00D728B1"/>
    <w:rsid w:val="00D73B90"/>
    <w:rsid w:val="00D805D5"/>
    <w:rsid w:val="00D83308"/>
    <w:rsid w:val="00D9020F"/>
    <w:rsid w:val="00D937F3"/>
    <w:rsid w:val="00D93CC5"/>
    <w:rsid w:val="00D94EDE"/>
    <w:rsid w:val="00D95067"/>
    <w:rsid w:val="00D9635B"/>
    <w:rsid w:val="00DA1712"/>
    <w:rsid w:val="00DA5DF4"/>
    <w:rsid w:val="00DA799A"/>
    <w:rsid w:val="00DB00C5"/>
    <w:rsid w:val="00DB080C"/>
    <w:rsid w:val="00DB0E4B"/>
    <w:rsid w:val="00DB2A74"/>
    <w:rsid w:val="00DB450D"/>
    <w:rsid w:val="00DB6A56"/>
    <w:rsid w:val="00DC2E52"/>
    <w:rsid w:val="00DC333C"/>
    <w:rsid w:val="00DC5F24"/>
    <w:rsid w:val="00DC7807"/>
    <w:rsid w:val="00DC7FB6"/>
    <w:rsid w:val="00DD00D8"/>
    <w:rsid w:val="00DD0BCC"/>
    <w:rsid w:val="00DD0F18"/>
    <w:rsid w:val="00DD33C7"/>
    <w:rsid w:val="00DD55F6"/>
    <w:rsid w:val="00DD574C"/>
    <w:rsid w:val="00DD6026"/>
    <w:rsid w:val="00DD7F11"/>
    <w:rsid w:val="00DE28E1"/>
    <w:rsid w:val="00DE2C75"/>
    <w:rsid w:val="00DE7893"/>
    <w:rsid w:val="00DF0468"/>
    <w:rsid w:val="00DF0EAA"/>
    <w:rsid w:val="00DF203C"/>
    <w:rsid w:val="00DF23D2"/>
    <w:rsid w:val="00DF3345"/>
    <w:rsid w:val="00DF5025"/>
    <w:rsid w:val="00DF7FC0"/>
    <w:rsid w:val="00E01459"/>
    <w:rsid w:val="00E031DE"/>
    <w:rsid w:val="00E03430"/>
    <w:rsid w:val="00E0679B"/>
    <w:rsid w:val="00E11EEF"/>
    <w:rsid w:val="00E13921"/>
    <w:rsid w:val="00E13A4D"/>
    <w:rsid w:val="00E13BB9"/>
    <w:rsid w:val="00E16C36"/>
    <w:rsid w:val="00E2053E"/>
    <w:rsid w:val="00E3005B"/>
    <w:rsid w:val="00E30AE3"/>
    <w:rsid w:val="00E31C59"/>
    <w:rsid w:val="00E330A3"/>
    <w:rsid w:val="00E3407E"/>
    <w:rsid w:val="00E35B68"/>
    <w:rsid w:val="00E36259"/>
    <w:rsid w:val="00E4345F"/>
    <w:rsid w:val="00E46DF8"/>
    <w:rsid w:val="00E47030"/>
    <w:rsid w:val="00E55EA3"/>
    <w:rsid w:val="00E616E7"/>
    <w:rsid w:val="00E63A71"/>
    <w:rsid w:val="00E67D5A"/>
    <w:rsid w:val="00E723E6"/>
    <w:rsid w:val="00E72B97"/>
    <w:rsid w:val="00E748CE"/>
    <w:rsid w:val="00E768F4"/>
    <w:rsid w:val="00E7730B"/>
    <w:rsid w:val="00E80D47"/>
    <w:rsid w:val="00E817E6"/>
    <w:rsid w:val="00E8290B"/>
    <w:rsid w:val="00E83222"/>
    <w:rsid w:val="00E84A4A"/>
    <w:rsid w:val="00E84B4B"/>
    <w:rsid w:val="00E856C5"/>
    <w:rsid w:val="00E85C6A"/>
    <w:rsid w:val="00E86F84"/>
    <w:rsid w:val="00E92D6E"/>
    <w:rsid w:val="00E9746A"/>
    <w:rsid w:val="00EA70E3"/>
    <w:rsid w:val="00EA7AA4"/>
    <w:rsid w:val="00EB11B1"/>
    <w:rsid w:val="00EB5A52"/>
    <w:rsid w:val="00EC168B"/>
    <w:rsid w:val="00ED4973"/>
    <w:rsid w:val="00ED6C90"/>
    <w:rsid w:val="00ED778A"/>
    <w:rsid w:val="00EE18A8"/>
    <w:rsid w:val="00EE1E04"/>
    <w:rsid w:val="00EE1E6F"/>
    <w:rsid w:val="00EE4830"/>
    <w:rsid w:val="00EF0648"/>
    <w:rsid w:val="00EF3F30"/>
    <w:rsid w:val="00F011C6"/>
    <w:rsid w:val="00F0136A"/>
    <w:rsid w:val="00F059C2"/>
    <w:rsid w:val="00F07F2A"/>
    <w:rsid w:val="00F11399"/>
    <w:rsid w:val="00F11E60"/>
    <w:rsid w:val="00F125E3"/>
    <w:rsid w:val="00F13148"/>
    <w:rsid w:val="00F13F79"/>
    <w:rsid w:val="00F142B3"/>
    <w:rsid w:val="00F146EC"/>
    <w:rsid w:val="00F178F0"/>
    <w:rsid w:val="00F208F5"/>
    <w:rsid w:val="00F20C00"/>
    <w:rsid w:val="00F20E7E"/>
    <w:rsid w:val="00F221ED"/>
    <w:rsid w:val="00F228D3"/>
    <w:rsid w:val="00F24CA7"/>
    <w:rsid w:val="00F26C3E"/>
    <w:rsid w:val="00F273E6"/>
    <w:rsid w:val="00F336E2"/>
    <w:rsid w:val="00F3578B"/>
    <w:rsid w:val="00F3735B"/>
    <w:rsid w:val="00F42FC4"/>
    <w:rsid w:val="00F46339"/>
    <w:rsid w:val="00F55643"/>
    <w:rsid w:val="00F6587F"/>
    <w:rsid w:val="00F6675C"/>
    <w:rsid w:val="00F7092D"/>
    <w:rsid w:val="00F80D59"/>
    <w:rsid w:val="00F811C7"/>
    <w:rsid w:val="00F8708C"/>
    <w:rsid w:val="00F8722F"/>
    <w:rsid w:val="00F931E5"/>
    <w:rsid w:val="00F9353B"/>
    <w:rsid w:val="00F95FA3"/>
    <w:rsid w:val="00FA7789"/>
    <w:rsid w:val="00FB01EC"/>
    <w:rsid w:val="00FB0262"/>
    <w:rsid w:val="00FB439B"/>
    <w:rsid w:val="00FB43B6"/>
    <w:rsid w:val="00FB52A5"/>
    <w:rsid w:val="00FB5748"/>
    <w:rsid w:val="00FC17C5"/>
    <w:rsid w:val="00FC538B"/>
    <w:rsid w:val="00FC64CA"/>
    <w:rsid w:val="00FD17EE"/>
    <w:rsid w:val="00FD21C0"/>
    <w:rsid w:val="00FD3416"/>
    <w:rsid w:val="00FD398D"/>
    <w:rsid w:val="00FD3F2A"/>
    <w:rsid w:val="00FD5686"/>
    <w:rsid w:val="00FD5E30"/>
    <w:rsid w:val="00FF3208"/>
    <w:rsid w:val="00FF55F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36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541C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541C2"/>
    <w:rPr>
      <w:rFonts w:ascii="Tahoma" w:hAnsi="Tahoma" w:cs="Tahoma"/>
      <w:sz w:val="16"/>
      <w:szCs w:val="16"/>
    </w:rPr>
  </w:style>
  <w:style w:type="paragraph" w:styleId="Paragraphedeliste">
    <w:name w:val="List Paragraph"/>
    <w:basedOn w:val="Normal"/>
    <w:uiPriority w:val="34"/>
    <w:qFormat/>
    <w:rsid w:val="00AF3ECB"/>
    <w:pPr>
      <w:ind w:left="720"/>
      <w:contextualSpacing/>
    </w:pPr>
  </w:style>
  <w:style w:type="paragraph" w:styleId="En-tte">
    <w:name w:val="header"/>
    <w:basedOn w:val="Normal"/>
    <w:link w:val="En-tteCar"/>
    <w:uiPriority w:val="99"/>
    <w:semiHidden/>
    <w:unhideWhenUsed/>
    <w:rsid w:val="00E3005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E3005B"/>
  </w:style>
  <w:style w:type="paragraph" w:styleId="Pieddepage">
    <w:name w:val="footer"/>
    <w:basedOn w:val="Normal"/>
    <w:link w:val="PieddepageCar"/>
    <w:uiPriority w:val="99"/>
    <w:unhideWhenUsed/>
    <w:rsid w:val="00E3005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3005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1522</Words>
  <Characters>8374</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2013-11-30T17:40:00Z</cp:lastPrinted>
  <dcterms:created xsi:type="dcterms:W3CDTF">2014-01-10T12:49:00Z</dcterms:created>
  <dcterms:modified xsi:type="dcterms:W3CDTF">2014-01-10T12:49:00Z</dcterms:modified>
</cp:coreProperties>
</file>