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1024DE" w:rsidRDefault="00920FD1" w:rsidP="001024DE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1024DE">
        <w:rPr>
          <w:rFonts w:asciiTheme="minorHAnsi" w:hAnsiTheme="minorHAnsi"/>
          <w:b/>
          <w:color w:val="FF0000"/>
          <w:sz w:val="22"/>
          <w:szCs w:val="22"/>
        </w:rPr>
        <w:t>LES ANXYOLITIQUES</w:t>
      </w:r>
    </w:p>
    <w:p w:rsidR="00A6584D" w:rsidRPr="001024DE" w:rsidRDefault="00A6584D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584D" w:rsidRPr="001024DE" w:rsidRDefault="00A6584D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C3">
        <w:rPr>
          <w:rFonts w:asciiTheme="minorHAnsi" w:hAnsiTheme="minorHAnsi"/>
          <w:sz w:val="22"/>
          <w:szCs w:val="22"/>
          <w:highlight w:val="yellow"/>
        </w:rPr>
        <w:t xml:space="preserve">Benzodiazépines chefs de file des </w:t>
      </w:r>
      <w:r w:rsidR="00E20BC3" w:rsidRPr="00E20BC3">
        <w:rPr>
          <w:rFonts w:asciiTheme="minorHAnsi" w:hAnsiTheme="minorHAnsi"/>
          <w:sz w:val="22"/>
          <w:szCs w:val="22"/>
          <w:highlight w:val="yellow"/>
        </w:rPr>
        <w:t>tranquillisants</w:t>
      </w:r>
    </w:p>
    <w:p w:rsidR="00A6584D" w:rsidRPr="001024DE" w:rsidRDefault="00A6584D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Acides très lipophiles se fixe sur les récepteurs liée au GABA </w:t>
      </w:r>
    </w:p>
    <w:p w:rsidR="00A6584D" w:rsidRPr="001024DE" w:rsidRDefault="00A6584D" w:rsidP="004331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Effets : </w:t>
      </w:r>
      <w:r w:rsidRPr="00433134">
        <w:rPr>
          <w:rFonts w:asciiTheme="minorHAnsi" w:hAnsiTheme="minorHAnsi"/>
          <w:sz w:val="22"/>
          <w:szCs w:val="22"/>
          <w:highlight w:val="yellow"/>
        </w:rPr>
        <w:t>anxiolytiques, sédatifs, myorelaxants, anticonvulsivants</w:t>
      </w:r>
      <w:r w:rsidR="00433134" w:rsidRPr="00433134">
        <w:rPr>
          <w:rFonts w:asciiTheme="minorHAnsi" w:hAnsiTheme="minorHAnsi"/>
          <w:sz w:val="22"/>
          <w:szCs w:val="22"/>
          <w:highlight w:val="yellow"/>
        </w:rPr>
        <w:t>, hypnotiques et amnésiants</w:t>
      </w:r>
    </w:p>
    <w:p w:rsidR="00A6584D" w:rsidRPr="001024DE" w:rsidRDefault="00A6584D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B64B7" w:rsidRPr="001024DE" w:rsidRDefault="000B64B7" w:rsidP="001024D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024DE">
        <w:rPr>
          <w:rFonts w:asciiTheme="minorHAnsi" w:hAnsiTheme="minorHAnsi"/>
          <w:b/>
          <w:color w:val="FF0000"/>
          <w:sz w:val="22"/>
          <w:szCs w:val="22"/>
        </w:rPr>
        <w:t>Indications :</w:t>
      </w:r>
    </w:p>
    <w:p w:rsidR="000B64B7" w:rsidRPr="001024DE" w:rsidRDefault="000B64B7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anxiété avec </w:t>
      </w:r>
      <w:r w:rsidR="00E20BC3">
        <w:rPr>
          <w:rFonts w:asciiTheme="minorHAnsi" w:hAnsiTheme="minorHAnsi"/>
          <w:sz w:val="22"/>
          <w:szCs w:val="22"/>
        </w:rPr>
        <w:t>pl</w:t>
      </w:r>
      <w:r w:rsidRPr="001024DE">
        <w:rPr>
          <w:rFonts w:asciiTheme="minorHAnsi" w:hAnsiTheme="minorHAnsi"/>
          <w:sz w:val="22"/>
          <w:szCs w:val="22"/>
        </w:rPr>
        <w:t xml:space="preserve">us ou moins manifestations somatiques </w:t>
      </w:r>
    </w:p>
    <w:p w:rsidR="000B64B7" w:rsidRPr="001024DE" w:rsidRDefault="000B64B7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en adjonction aux antidépresseurs </w:t>
      </w:r>
    </w:p>
    <w:p w:rsidR="000B64B7" w:rsidRPr="001024DE" w:rsidRDefault="000B64B7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B64B7" w:rsidRPr="001024DE" w:rsidRDefault="000B64B7" w:rsidP="001024D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024DE">
        <w:rPr>
          <w:rFonts w:asciiTheme="minorHAnsi" w:hAnsiTheme="minorHAnsi"/>
          <w:b/>
          <w:color w:val="FF0000"/>
          <w:sz w:val="22"/>
          <w:szCs w:val="22"/>
        </w:rPr>
        <w:t>Pharmacocinétique :</w:t>
      </w:r>
    </w:p>
    <w:p w:rsidR="000B64B7" w:rsidRPr="001024DE" w:rsidRDefault="000B64B7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la voie IM n’est pas plus rapide que la voie per os pour le Valium </w:t>
      </w:r>
    </w:p>
    <w:p w:rsidR="000B64B7" w:rsidRPr="001024DE" w:rsidRDefault="000B64B7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33134">
        <w:rPr>
          <w:rFonts w:asciiTheme="minorHAnsi" w:hAnsiTheme="minorHAnsi"/>
          <w:sz w:val="22"/>
          <w:szCs w:val="22"/>
          <w:highlight w:val="yellow"/>
        </w:rPr>
        <w:t>métabolisme hépatique, élimination rénale</w:t>
      </w:r>
      <w:r w:rsidRPr="001024DE">
        <w:rPr>
          <w:rFonts w:asciiTheme="minorHAnsi" w:hAnsiTheme="minorHAnsi"/>
          <w:sz w:val="22"/>
          <w:szCs w:val="22"/>
        </w:rPr>
        <w:t xml:space="preserve"> </w:t>
      </w:r>
    </w:p>
    <w:p w:rsidR="000B64B7" w:rsidRPr="001024DE" w:rsidRDefault="000B64B7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33134">
        <w:rPr>
          <w:rFonts w:asciiTheme="minorHAnsi" w:hAnsiTheme="minorHAnsi"/>
          <w:sz w:val="22"/>
          <w:szCs w:val="22"/>
          <w:highlight w:val="yellow"/>
        </w:rPr>
        <w:t>risque d’accumulation en cas d’hypoprotidémie (sujet âgé</w:t>
      </w:r>
      <w:r w:rsidRPr="001024DE">
        <w:rPr>
          <w:rFonts w:asciiTheme="minorHAnsi" w:hAnsiTheme="minorHAnsi"/>
          <w:sz w:val="22"/>
          <w:szCs w:val="22"/>
        </w:rPr>
        <w:t>)</w:t>
      </w:r>
    </w:p>
    <w:p w:rsidR="000B64B7" w:rsidRPr="001024DE" w:rsidRDefault="000B64B7" w:rsidP="001024DE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Ind w:w="720" w:type="dxa"/>
        <w:tblLook w:val="01E0"/>
      </w:tblPr>
      <w:tblGrid>
        <w:gridCol w:w="2808"/>
        <w:gridCol w:w="2160"/>
      </w:tblGrid>
      <w:tr w:rsidR="000B64B7" w:rsidRPr="001024DE" w:rsidTr="00920FD1">
        <w:tc>
          <w:tcPr>
            <w:tcW w:w="2808" w:type="dxa"/>
          </w:tcPr>
          <w:p w:rsidR="000B64B7" w:rsidRPr="001024DE" w:rsidRDefault="0028619F" w:rsidP="001024D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1024DE">
              <w:rPr>
                <w:rFonts w:asciiTheme="minorHAnsi" w:hAnsiTheme="minorHAnsi"/>
                <w:sz w:val="22"/>
                <w:szCs w:val="22"/>
              </w:rPr>
              <w:t xml:space="preserve">Anxiolytiques </w:t>
            </w:r>
          </w:p>
        </w:tc>
        <w:tc>
          <w:tcPr>
            <w:tcW w:w="2160" w:type="dxa"/>
          </w:tcPr>
          <w:p w:rsidR="000B64B7" w:rsidRPr="001024DE" w:rsidRDefault="0028619F" w:rsidP="001024D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1024DE">
              <w:rPr>
                <w:rFonts w:asciiTheme="minorHAnsi" w:hAnsiTheme="minorHAnsi"/>
                <w:sz w:val="22"/>
                <w:szCs w:val="22"/>
              </w:rPr>
              <w:t xml:space="preserve">½ vie plasmatique </w:t>
            </w:r>
          </w:p>
        </w:tc>
      </w:tr>
      <w:tr w:rsidR="000B64B7" w:rsidRPr="001024DE" w:rsidTr="00920FD1">
        <w:tc>
          <w:tcPr>
            <w:tcW w:w="2808" w:type="dxa"/>
          </w:tcPr>
          <w:p w:rsidR="000B64B7" w:rsidRPr="001024DE" w:rsidRDefault="0028619F" w:rsidP="001024D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Temesta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spellStart"/>
            <w:r w:rsidRPr="001024DE">
              <w:rPr>
                <w:rFonts w:asciiTheme="minorHAnsi" w:hAnsiTheme="minorHAnsi"/>
                <w:sz w:val="22"/>
                <w:szCs w:val="22"/>
              </w:rPr>
              <w:t>irozepam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2160" w:type="dxa"/>
          </w:tcPr>
          <w:p w:rsidR="000B64B7" w:rsidRPr="001024DE" w:rsidRDefault="0028619F" w:rsidP="001024DE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12h</w:t>
            </w:r>
          </w:p>
        </w:tc>
      </w:tr>
      <w:tr w:rsidR="000B64B7" w:rsidRPr="001024DE" w:rsidTr="00920FD1">
        <w:tc>
          <w:tcPr>
            <w:tcW w:w="2808" w:type="dxa"/>
          </w:tcPr>
          <w:p w:rsidR="0028619F" w:rsidRPr="001024DE" w:rsidRDefault="0028619F" w:rsidP="001024D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Lexomil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spellStart"/>
            <w:r w:rsidRPr="001024DE">
              <w:rPr>
                <w:rFonts w:asciiTheme="minorHAnsi" w:hAnsiTheme="minorHAnsi"/>
                <w:sz w:val="22"/>
                <w:szCs w:val="22"/>
              </w:rPr>
              <w:t>bromazepam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2160" w:type="dxa"/>
          </w:tcPr>
          <w:p w:rsidR="000B64B7" w:rsidRPr="001024DE" w:rsidRDefault="0028619F" w:rsidP="001024DE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20h</w:t>
            </w:r>
          </w:p>
        </w:tc>
      </w:tr>
      <w:tr w:rsidR="000B64B7" w:rsidRPr="001024DE" w:rsidTr="00920FD1">
        <w:tc>
          <w:tcPr>
            <w:tcW w:w="2808" w:type="dxa"/>
          </w:tcPr>
          <w:p w:rsidR="000B64B7" w:rsidRPr="001024DE" w:rsidRDefault="0028619F" w:rsidP="001024D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Tranxène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spellStart"/>
            <w:r w:rsidRPr="001024DE">
              <w:rPr>
                <w:rFonts w:asciiTheme="minorHAnsi" w:hAnsiTheme="minorHAnsi"/>
                <w:sz w:val="22"/>
                <w:szCs w:val="22"/>
              </w:rPr>
              <w:t>clorazepate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>-K</w:t>
            </w:r>
          </w:p>
        </w:tc>
        <w:tc>
          <w:tcPr>
            <w:tcW w:w="2160" w:type="dxa"/>
          </w:tcPr>
          <w:p w:rsidR="000B64B7" w:rsidRPr="001024DE" w:rsidRDefault="0028619F" w:rsidP="001024DE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55h</w:t>
            </w:r>
          </w:p>
        </w:tc>
      </w:tr>
      <w:tr w:rsidR="000B64B7" w:rsidRPr="001024DE" w:rsidTr="00920FD1">
        <w:tc>
          <w:tcPr>
            <w:tcW w:w="2808" w:type="dxa"/>
          </w:tcPr>
          <w:p w:rsidR="000B64B7" w:rsidRPr="001024DE" w:rsidRDefault="0028619F" w:rsidP="001024D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Valium</w:t>
            </w:r>
            <w:r w:rsidRPr="001024DE">
              <w:rPr>
                <w:rFonts w:asciiTheme="minorHAnsi" w:hAnsiTheme="minorHAnsi"/>
                <w:sz w:val="22"/>
                <w:szCs w:val="22"/>
              </w:rPr>
              <w:t xml:space="preserve"> (diazépam) </w:t>
            </w:r>
          </w:p>
        </w:tc>
        <w:tc>
          <w:tcPr>
            <w:tcW w:w="2160" w:type="dxa"/>
          </w:tcPr>
          <w:p w:rsidR="000B64B7" w:rsidRPr="001024DE" w:rsidRDefault="0028619F" w:rsidP="001024DE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55h</w:t>
            </w:r>
          </w:p>
        </w:tc>
      </w:tr>
      <w:tr w:rsidR="007B21E7" w:rsidRPr="001024DE" w:rsidTr="00920FD1">
        <w:tc>
          <w:tcPr>
            <w:tcW w:w="2808" w:type="dxa"/>
          </w:tcPr>
          <w:p w:rsidR="007B21E7" w:rsidRPr="001024DE" w:rsidRDefault="007B21E7" w:rsidP="001024D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Lysanxia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spellStart"/>
            <w:r w:rsidRPr="001024DE">
              <w:rPr>
                <w:rFonts w:asciiTheme="minorHAnsi" w:hAnsiTheme="minorHAnsi"/>
                <w:sz w:val="22"/>
                <w:szCs w:val="22"/>
              </w:rPr>
              <w:t>prapézam</w:t>
            </w:r>
            <w:proofErr w:type="spellEnd"/>
            <w:r w:rsidRPr="001024DE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2160" w:type="dxa"/>
          </w:tcPr>
          <w:p w:rsidR="007B21E7" w:rsidRPr="001024DE" w:rsidRDefault="007B21E7" w:rsidP="001024DE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024DE">
              <w:rPr>
                <w:rFonts w:asciiTheme="minorHAnsi" w:hAnsiTheme="minorHAnsi"/>
                <w:b/>
                <w:sz w:val="22"/>
                <w:szCs w:val="22"/>
              </w:rPr>
              <w:t>65h</w:t>
            </w:r>
          </w:p>
        </w:tc>
      </w:tr>
    </w:tbl>
    <w:p w:rsidR="00A6584D" w:rsidRPr="001024DE" w:rsidRDefault="00A6584D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B21E7" w:rsidRPr="001024DE" w:rsidRDefault="007B21E7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Les BZD utilisées comme hypnotiques ont une demi-vie courte pour éviter les effets secondaire le lendemain </w:t>
      </w:r>
    </w:p>
    <w:p w:rsidR="007B21E7" w:rsidRPr="001024DE" w:rsidRDefault="007B21E7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B21E7" w:rsidRPr="001024DE" w:rsidRDefault="007B21E7" w:rsidP="001024D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024DE">
        <w:rPr>
          <w:rFonts w:asciiTheme="minorHAnsi" w:hAnsiTheme="minorHAnsi"/>
          <w:b/>
          <w:color w:val="FF0000"/>
          <w:sz w:val="22"/>
          <w:szCs w:val="22"/>
        </w:rPr>
        <w:t>Contre-indications :</w:t>
      </w:r>
    </w:p>
    <w:p w:rsidR="007B21E7" w:rsidRPr="001024DE" w:rsidRDefault="007B21E7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myasthénie, insuffisance respiratoire décompensée, apnée du sommeil</w:t>
      </w:r>
    </w:p>
    <w:p w:rsidR="0099054B" w:rsidRPr="001024DE" w:rsidRDefault="0099054B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insuffisance hépatique, insuffisance rénale, allergie aux BZD</w:t>
      </w:r>
    </w:p>
    <w:p w:rsidR="007B21E7" w:rsidRPr="001024DE" w:rsidRDefault="007B21E7" w:rsidP="001024DE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 </w:t>
      </w:r>
    </w:p>
    <w:p w:rsidR="007B21E7" w:rsidRPr="001024DE" w:rsidRDefault="007B21E7" w:rsidP="001024D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024DE">
        <w:rPr>
          <w:rFonts w:asciiTheme="minorHAnsi" w:hAnsiTheme="minorHAnsi"/>
          <w:b/>
          <w:color w:val="FF0000"/>
          <w:sz w:val="22"/>
          <w:szCs w:val="22"/>
        </w:rPr>
        <w:t>Effets secondaires :</w:t>
      </w:r>
    </w:p>
    <w:p w:rsidR="0099054B" w:rsidRPr="001024DE" w:rsidRDefault="007B21E7" w:rsidP="001024D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b/>
          <w:sz w:val="22"/>
          <w:szCs w:val="22"/>
        </w:rPr>
        <w:t>mineurs</w:t>
      </w:r>
      <w:r w:rsidR="0099054B" w:rsidRPr="001024DE">
        <w:rPr>
          <w:rFonts w:asciiTheme="minorHAnsi" w:hAnsiTheme="minorHAnsi"/>
          <w:sz w:val="22"/>
          <w:szCs w:val="22"/>
        </w:rPr>
        <w:t> : disparaissent en quelques jours imposent une réduction posologique</w:t>
      </w:r>
    </w:p>
    <w:p w:rsidR="0099054B" w:rsidRPr="001024DE" w:rsidRDefault="0099054B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troubles de la </w:t>
      </w:r>
      <w:r w:rsidR="00D43F35" w:rsidRPr="001024DE">
        <w:rPr>
          <w:rFonts w:asciiTheme="minorHAnsi" w:hAnsiTheme="minorHAnsi"/>
          <w:sz w:val="22"/>
          <w:szCs w:val="22"/>
        </w:rPr>
        <w:t>vigilance</w:t>
      </w:r>
      <w:r w:rsidRPr="001024DE">
        <w:rPr>
          <w:rFonts w:asciiTheme="minorHAnsi" w:hAnsiTheme="minorHAnsi"/>
          <w:sz w:val="22"/>
          <w:szCs w:val="22"/>
        </w:rPr>
        <w:t xml:space="preserve">, somnolence diurne, </w:t>
      </w:r>
      <w:r w:rsidR="00D43F35" w:rsidRPr="001024DE">
        <w:rPr>
          <w:rFonts w:asciiTheme="minorHAnsi" w:hAnsiTheme="minorHAnsi"/>
          <w:sz w:val="22"/>
          <w:szCs w:val="22"/>
        </w:rPr>
        <w:t>troubles de la mémoire</w:t>
      </w:r>
    </w:p>
    <w:p w:rsidR="0099054B" w:rsidRPr="001024DE" w:rsidRDefault="0099054B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sensation d’ébriété, vertiges, maladresse motrice</w:t>
      </w:r>
      <w:r w:rsidR="00D43F35" w:rsidRPr="001024DE">
        <w:rPr>
          <w:rFonts w:asciiTheme="minorHAnsi" w:hAnsiTheme="minorHAnsi"/>
          <w:sz w:val="22"/>
          <w:szCs w:val="22"/>
        </w:rPr>
        <w:t>, diminution du temps de réaction au volant</w:t>
      </w:r>
    </w:p>
    <w:p w:rsidR="0099054B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apathie, </w:t>
      </w:r>
      <w:r w:rsidR="0099054B" w:rsidRPr="001024DE">
        <w:rPr>
          <w:rFonts w:asciiTheme="minorHAnsi" w:hAnsiTheme="minorHAnsi"/>
          <w:sz w:val="22"/>
          <w:szCs w:val="22"/>
        </w:rPr>
        <w:t xml:space="preserve">amertume, sécheresse buccale et nasale </w:t>
      </w:r>
    </w:p>
    <w:p w:rsidR="0099054B" w:rsidRPr="001024DE" w:rsidRDefault="0099054B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chez personnes âgés : </w:t>
      </w:r>
      <w:r w:rsidR="00D43F35" w:rsidRPr="001024DE">
        <w:rPr>
          <w:rFonts w:asciiTheme="minorHAnsi" w:hAnsiTheme="minorHAnsi"/>
          <w:sz w:val="22"/>
          <w:szCs w:val="22"/>
        </w:rPr>
        <w:t xml:space="preserve">hallucination, cauchemars </w:t>
      </w:r>
    </w:p>
    <w:p w:rsidR="00D43F35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rebond anxieux paradoxal avec troubles du caractère (rare)</w:t>
      </w:r>
    </w:p>
    <w:p w:rsidR="0099054B" w:rsidRPr="001024DE" w:rsidRDefault="0099054B" w:rsidP="001024DE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B21E7" w:rsidRPr="001024DE" w:rsidRDefault="007B21E7" w:rsidP="001024DE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365A">
        <w:rPr>
          <w:rFonts w:asciiTheme="minorHAnsi" w:hAnsiTheme="minorHAnsi"/>
          <w:b/>
          <w:sz w:val="22"/>
          <w:szCs w:val="22"/>
          <w:highlight w:val="yellow"/>
        </w:rPr>
        <w:t>majeurs</w:t>
      </w:r>
      <w:r w:rsidR="00D43F35" w:rsidRPr="001024DE">
        <w:rPr>
          <w:rFonts w:asciiTheme="minorHAnsi" w:hAnsiTheme="minorHAnsi"/>
          <w:sz w:val="22"/>
          <w:szCs w:val="22"/>
        </w:rPr>
        <w:t xml:space="preserve"> : dues au surdosage </w:t>
      </w:r>
    </w:p>
    <w:p w:rsidR="00D43F35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dysarthrie, tremblements fins, coma confusion</w:t>
      </w:r>
    </w:p>
    <w:p w:rsidR="00D43F35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troubles de la marche, </w:t>
      </w:r>
      <w:proofErr w:type="spellStart"/>
      <w:r w:rsidRPr="001024DE">
        <w:rPr>
          <w:rFonts w:asciiTheme="minorHAnsi" w:hAnsiTheme="minorHAnsi"/>
          <w:sz w:val="22"/>
          <w:szCs w:val="22"/>
        </w:rPr>
        <w:t>hyporéflexie</w:t>
      </w:r>
      <w:proofErr w:type="spellEnd"/>
      <w:r w:rsidRPr="001024DE">
        <w:rPr>
          <w:rFonts w:asciiTheme="minorHAnsi" w:hAnsiTheme="minorHAnsi"/>
          <w:sz w:val="22"/>
          <w:szCs w:val="22"/>
        </w:rPr>
        <w:t>, chute =&gt; fractures</w:t>
      </w:r>
    </w:p>
    <w:p w:rsidR="00D43F35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33134">
        <w:rPr>
          <w:rFonts w:asciiTheme="minorHAnsi" w:hAnsiTheme="minorHAnsi"/>
          <w:sz w:val="22"/>
          <w:szCs w:val="22"/>
          <w:highlight w:val="yellow"/>
        </w:rPr>
        <w:t>pharmacodépendance</w:t>
      </w:r>
    </w:p>
    <w:p w:rsidR="00D43F35" w:rsidRPr="001024DE" w:rsidRDefault="00D43F35" w:rsidP="001024DE">
      <w:pPr>
        <w:spacing w:line="276" w:lineRule="auto"/>
        <w:ind w:left="720"/>
        <w:rPr>
          <w:rFonts w:asciiTheme="minorHAnsi" w:hAnsiTheme="minorHAnsi"/>
          <w:b/>
          <w:sz w:val="22"/>
          <w:szCs w:val="22"/>
        </w:rPr>
      </w:pPr>
    </w:p>
    <w:p w:rsidR="00D43F35" w:rsidRPr="001024DE" w:rsidRDefault="00D43F35" w:rsidP="001024DE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1024DE">
        <w:rPr>
          <w:rFonts w:asciiTheme="minorHAnsi" w:hAnsiTheme="minorHAnsi"/>
          <w:b/>
          <w:sz w:val="22"/>
          <w:szCs w:val="22"/>
        </w:rPr>
        <w:t>Pharmacodépendance :</w:t>
      </w:r>
    </w:p>
    <w:p w:rsidR="00D43F35" w:rsidRPr="00A8365A" w:rsidRDefault="00D43F35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A8365A">
        <w:rPr>
          <w:rFonts w:asciiTheme="minorHAnsi" w:hAnsiTheme="minorHAnsi"/>
          <w:sz w:val="22"/>
          <w:szCs w:val="22"/>
          <w:highlight w:val="yellow"/>
        </w:rPr>
        <w:t>secondaire à :</w:t>
      </w:r>
    </w:p>
    <w:p w:rsidR="00D43F35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abus de consommation, doses élevées, âge avancé</w:t>
      </w:r>
    </w:p>
    <w:p w:rsidR="00D43F35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produits d’action rapide demi-vie courte</w:t>
      </w:r>
    </w:p>
    <w:p w:rsidR="00D43F35" w:rsidRPr="001024DE" w:rsidRDefault="00D43F35" w:rsidP="001024D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alcool, tabac, boulimie, toxicomanie, troubles de la personnalité, névrose, angoisse</w:t>
      </w:r>
    </w:p>
    <w:p w:rsidR="00D43F35" w:rsidRPr="001024DE" w:rsidRDefault="00D43F35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tolérance aux produits nécessitant l’augmentation</w:t>
      </w:r>
      <w:r w:rsidR="00B745D8" w:rsidRPr="001024DE">
        <w:rPr>
          <w:rFonts w:asciiTheme="minorHAnsi" w:hAnsiTheme="minorHAnsi"/>
          <w:sz w:val="22"/>
          <w:szCs w:val="22"/>
        </w:rPr>
        <w:t xml:space="preserve"> des doses</w:t>
      </w:r>
    </w:p>
    <w:p w:rsidR="00B745D8" w:rsidRPr="001024DE" w:rsidRDefault="00B745D8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dépendance physique avec syndrome de sevrage </w:t>
      </w:r>
    </w:p>
    <w:p w:rsidR="00D43F35" w:rsidRPr="001024DE" w:rsidRDefault="00D43F35" w:rsidP="001024DE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28619F" w:rsidRPr="001024DE" w:rsidRDefault="0028619F" w:rsidP="001024DE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1024DE">
        <w:rPr>
          <w:rFonts w:asciiTheme="minorHAnsi" w:hAnsiTheme="minorHAnsi"/>
          <w:b/>
          <w:sz w:val="22"/>
          <w:szCs w:val="22"/>
        </w:rPr>
        <w:t>Le syndrome sevrage :</w:t>
      </w:r>
      <w:r w:rsidR="00A8365A">
        <w:rPr>
          <w:rFonts w:asciiTheme="minorHAnsi" w:hAnsiTheme="minorHAnsi"/>
          <w:b/>
          <w:sz w:val="22"/>
          <w:szCs w:val="22"/>
        </w:rPr>
        <w:t xml:space="preserve"> +++</w:t>
      </w:r>
    </w:p>
    <w:p w:rsidR="0028619F" w:rsidRPr="001024DE" w:rsidRDefault="0028619F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C3">
        <w:rPr>
          <w:rFonts w:asciiTheme="minorHAnsi" w:hAnsiTheme="minorHAnsi"/>
          <w:sz w:val="22"/>
          <w:szCs w:val="22"/>
          <w:highlight w:val="yellow"/>
        </w:rPr>
        <w:t>apparaît en 24_48h pour les BZD à demi-vie courte, 4-6jours pour les BZD à demi-vie longue</w:t>
      </w:r>
      <w:r w:rsidRPr="001024DE">
        <w:rPr>
          <w:rFonts w:asciiTheme="minorHAnsi" w:hAnsiTheme="minorHAnsi"/>
          <w:sz w:val="22"/>
          <w:szCs w:val="22"/>
        </w:rPr>
        <w:t xml:space="preserve"> </w:t>
      </w:r>
    </w:p>
    <w:p w:rsidR="0028619F" w:rsidRPr="001024DE" w:rsidRDefault="0028619F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C3">
        <w:rPr>
          <w:rFonts w:asciiTheme="minorHAnsi" w:hAnsiTheme="minorHAnsi"/>
          <w:sz w:val="22"/>
          <w:szCs w:val="22"/>
          <w:highlight w:val="yellow"/>
        </w:rPr>
        <w:t>peut durer 1mois</w:t>
      </w:r>
      <w:r w:rsidRPr="001024DE">
        <w:rPr>
          <w:rFonts w:asciiTheme="minorHAnsi" w:hAnsiTheme="minorHAnsi"/>
          <w:sz w:val="22"/>
          <w:szCs w:val="22"/>
        </w:rPr>
        <w:t>, il associe :</w:t>
      </w:r>
    </w:p>
    <w:p w:rsidR="0028619F" w:rsidRPr="001024DE" w:rsidRDefault="0028619F" w:rsidP="001024DE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1024DE">
        <w:rPr>
          <w:rFonts w:asciiTheme="minorHAnsi" w:hAnsiTheme="minorHAnsi"/>
          <w:b/>
          <w:color w:val="339966"/>
          <w:sz w:val="22"/>
          <w:szCs w:val="22"/>
        </w:rPr>
        <w:t xml:space="preserve">signes physiques : </w:t>
      </w:r>
    </w:p>
    <w:p w:rsidR="0028619F" w:rsidRPr="001024DE" w:rsidRDefault="0028619F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douleurs musculaires, fasciculations, tremblements, </w:t>
      </w:r>
    </w:p>
    <w:p w:rsidR="0028619F" w:rsidRPr="001024DE" w:rsidRDefault="0028619F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vertiges, troubles de la vue</w:t>
      </w:r>
      <w:r w:rsidR="00E20BC3">
        <w:rPr>
          <w:rFonts w:asciiTheme="minorHAnsi" w:hAnsiTheme="minorHAnsi"/>
          <w:sz w:val="22"/>
          <w:szCs w:val="22"/>
        </w:rPr>
        <w:t>,</w:t>
      </w:r>
      <w:r w:rsidRPr="001024DE">
        <w:rPr>
          <w:rFonts w:asciiTheme="minorHAnsi" w:hAnsiTheme="minorHAnsi"/>
          <w:sz w:val="22"/>
          <w:szCs w:val="22"/>
        </w:rPr>
        <w:t xml:space="preserve"> céphalées, nausées</w:t>
      </w:r>
    </w:p>
    <w:p w:rsidR="0028619F" w:rsidRPr="001024DE" w:rsidRDefault="0028619F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palpitation,</w:t>
      </w:r>
      <w:r w:rsidR="00D43F35" w:rsidRPr="001024DE">
        <w:rPr>
          <w:rFonts w:asciiTheme="minorHAnsi" w:hAnsiTheme="minorHAnsi"/>
          <w:sz w:val="22"/>
          <w:szCs w:val="22"/>
        </w:rPr>
        <w:t xml:space="preserve"> anorexie, douleurs abdominales</w:t>
      </w:r>
    </w:p>
    <w:p w:rsidR="00D43F35" w:rsidRPr="001024DE" w:rsidRDefault="00D43F35" w:rsidP="001024DE">
      <w:pPr>
        <w:spacing w:line="276" w:lineRule="auto"/>
        <w:ind w:left="1080"/>
        <w:rPr>
          <w:rFonts w:asciiTheme="minorHAnsi" w:hAnsiTheme="minorHAnsi"/>
          <w:color w:val="339966"/>
          <w:sz w:val="22"/>
          <w:szCs w:val="22"/>
        </w:rPr>
      </w:pPr>
    </w:p>
    <w:p w:rsidR="0028619F" w:rsidRPr="001024DE" w:rsidRDefault="0028619F" w:rsidP="001024DE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1024DE">
        <w:rPr>
          <w:rFonts w:asciiTheme="minorHAnsi" w:hAnsiTheme="minorHAnsi"/>
          <w:b/>
          <w:color w:val="339966"/>
          <w:sz w:val="22"/>
          <w:szCs w:val="22"/>
        </w:rPr>
        <w:t>sensoriels :</w:t>
      </w:r>
    </w:p>
    <w:p w:rsidR="0028619F" w:rsidRPr="001024DE" w:rsidRDefault="00E20BC3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hyperesthésie</w:t>
      </w:r>
      <w:r w:rsidR="0028619F" w:rsidRPr="001024DE">
        <w:rPr>
          <w:rFonts w:asciiTheme="minorHAnsi" w:hAnsiTheme="minorHAnsi"/>
          <w:sz w:val="22"/>
          <w:szCs w:val="22"/>
        </w:rPr>
        <w:t xml:space="preserve"> sensorielle (tactile, olfactive</w:t>
      </w:r>
      <w:r w:rsidR="00B745D8" w:rsidRPr="001024DE">
        <w:rPr>
          <w:rFonts w:asciiTheme="minorHAnsi" w:hAnsiTheme="minorHAnsi"/>
          <w:sz w:val="22"/>
          <w:szCs w:val="22"/>
        </w:rPr>
        <w:t>, visuelle)</w:t>
      </w:r>
    </w:p>
    <w:p w:rsidR="00B745D8" w:rsidRPr="001024DE" w:rsidRDefault="00B745D8" w:rsidP="001024DE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28619F" w:rsidRPr="001024DE" w:rsidRDefault="0028619F" w:rsidP="001024DE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1024DE">
        <w:rPr>
          <w:rFonts w:asciiTheme="minorHAnsi" w:hAnsiTheme="minorHAnsi"/>
          <w:b/>
          <w:color w:val="339966"/>
          <w:sz w:val="22"/>
          <w:szCs w:val="22"/>
        </w:rPr>
        <w:t>neuro psychiques :</w:t>
      </w:r>
    </w:p>
    <w:p w:rsidR="00B745D8" w:rsidRPr="001024DE" w:rsidRDefault="00B745D8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agitation, impatience, insomnie, anxiété </w:t>
      </w:r>
    </w:p>
    <w:p w:rsidR="00B745D8" w:rsidRPr="001024DE" w:rsidRDefault="00B745D8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troubles de l’humeur, idées suicidaires</w:t>
      </w:r>
    </w:p>
    <w:p w:rsidR="00B745D8" w:rsidRPr="001024DE" w:rsidRDefault="00B745D8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troubles de la personnalité, confusion mentale</w:t>
      </w:r>
    </w:p>
    <w:p w:rsidR="00B745D8" w:rsidRPr="001024DE" w:rsidRDefault="00B745D8" w:rsidP="001024D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épilepsie (surtout pour les BZD à demi-vie courte) </w:t>
      </w:r>
    </w:p>
    <w:p w:rsidR="00B745D8" w:rsidRPr="001024DE" w:rsidRDefault="00B745D8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745D8" w:rsidRPr="001024DE" w:rsidRDefault="00B745D8" w:rsidP="001024D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024DE">
        <w:rPr>
          <w:rFonts w:asciiTheme="minorHAnsi" w:hAnsiTheme="minorHAnsi"/>
          <w:b/>
          <w:color w:val="FF0000"/>
          <w:sz w:val="22"/>
          <w:szCs w:val="22"/>
        </w:rPr>
        <w:t xml:space="preserve">Prévention : </w:t>
      </w:r>
    </w:p>
    <w:p w:rsidR="00B745D8" w:rsidRPr="001024DE" w:rsidRDefault="00B745D8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traitement à la plus petite dose possible pour meilleur effet</w:t>
      </w:r>
    </w:p>
    <w:p w:rsidR="00B745D8" w:rsidRPr="001024DE" w:rsidRDefault="00B745D8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 xml:space="preserve">prescription courte avec dégression </w:t>
      </w:r>
    </w:p>
    <w:p w:rsidR="00B745D8" w:rsidRPr="001024DE" w:rsidRDefault="00B745D8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0BC3">
        <w:rPr>
          <w:rFonts w:asciiTheme="minorHAnsi" w:hAnsiTheme="minorHAnsi"/>
          <w:sz w:val="22"/>
          <w:szCs w:val="22"/>
          <w:highlight w:val="yellow"/>
        </w:rPr>
        <w:t>durée du traitement max 12semaines</w:t>
      </w:r>
      <w:r w:rsidRPr="001024DE">
        <w:rPr>
          <w:rFonts w:asciiTheme="minorHAnsi" w:hAnsiTheme="minorHAnsi"/>
          <w:sz w:val="22"/>
          <w:szCs w:val="22"/>
        </w:rPr>
        <w:t xml:space="preserve"> </w:t>
      </w:r>
    </w:p>
    <w:p w:rsidR="00B745D8" w:rsidRPr="001024DE" w:rsidRDefault="00B745D8" w:rsidP="001024D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024DE">
        <w:rPr>
          <w:rFonts w:asciiTheme="minorHAnsi" w:hAnsiTheme="minorHAnsi"/>
          <w:sz w:val="22"/>
          <w:szCs w:val="22"/>
        </w:rPr>
        <w:t>si facteurs de risque, prescrire d’autres molécules : antihistaminiques (</w:t>
      </w:r>
      <w:proofErr w:type="spellStart"/>
      <w:r w:rsidRPr="001024DE">
        <w:rPr>
          <w:rFonts w:asciiTheme="minorHAnsi" w:hAnsiTheme="minorHAnsi"/>
          <w:sz w:val="22"/>
          <w:szCs w:val="22"/>
        </w:rPr>
        <w:t>atarax</w:t>
      </w:r>
      <w:proofErr w:type="spellEnd"/>
      <w:r w:rsidRPr="001024D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1024DE">
        <w:rPr>
          <w:rFonts w:asciiTheme="minorHAnsi" w:hAnsiTheme="minorHAnsi"/>
          <w:sz w:val="22"/>
          <w:szCs w:val="22"/>
        </w:rPr>
        <w:t>théralène</w:t>
      </w:r>
      <w:proofErr w:type="spellEnd"/>
      <w:r w:rsidRPr="001024DE">
        <w:rPr>
          <w:rFonts w:asciiTheme="minorHAnsi" w:hAnsiTheme="minorHAnsi"/>
          <w:sz w:val="22"/>
          <w:szCs w:val="22"/>
        </w:rPr>
        <w:t>), ATD (</w:t>
      </w:r>
      <w:proofErr w:type="spellStart"/>
      <w:r w:rsidRPr="001024DE">
        <w:rPr>
          <w:rFonts w:asciiTheme="minorHAnsi" w:hAnsiTheme="minorHAnsi"/>
          <w:sz w:val="22"/>
          <w:szCs w:val="22"/>
        </w:rPr>
        <w:t>laroxyl</w:t>
      </w:r>
      <w:proofErr w:type="spellEnd"/>
      <w:r w:rsidRPr="001024DE">
        <w:rPr>
          <w:rFonts w:asciiTheme="minorHAnsi" w:hAnsiTheme="minorHAnsi"/>
          <w:sz w:val="22"/>
          <w:szCs w:val="22"/>
        </w:rPr>
        <w:t xml:space="preserve">), </w:t>
      </w:r>
      <w:r w:rsidR="00E20BC3" w:rsidRPr="001024DE">
        <w:rPr>
          <w:rFonts w:asciiTheme="minorHAnsi" w:hAnsiTheme="minorHAnsi"/>
          <w:sz w:val="22"/>
          <w:szCs w:val="22"/>
        </w:rPr>
        <w:t>neuroleptiques</w:t>
      </w:r>
      <w:r w:rsidRPr="001024DE">
        <w:rPr>
          <w:rFonts w:asciiTheme="minorHAnsi" w:hAnsiTheme="minorHAnsi"/>
          <w:sz w:val="22"/>
          <w:szCs w:val="22"/>
        </w:rPr>
        <w:t xml:space="preserve"> à faible dose (</w:t>
      </w:r>
      <w:proofErr w:type="spellStart"/>
      <w:r w:rsidRPr="001024DE">
        <w:rPr>
          <w:rFonts w:asciiTheme="minorHAnsi" w:hAnsiTheme="minorHAnsi"/>
          <w:sz w:val="22"/>
          <w:szCs w:val="22"/>
        </w:rPr>
        <w:t>nozinan</w:t>
      </w:r>
      <w:proofErr w:type="spellEnd"/>
      <w:r w:rsidRPr="001024D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1024DE">
        <w:rPr>
          <w:rFonts w:asciiTheme="minorHAnsi" w:hAnsiTheme="minorHAnsi"/>
          <w:sz w:val="22"/>
          <w:szCs w:val="22"/>
        </w:rPr>
        <w:t>melliril</w:t>
      </w:r>
      <w:proofErr w:type="spellEnd"/>
      <w:r w:rsidRPr="001024DE">
        <w:rPr>
          <w:rFonts w:asciiTheme="minorHAnsi" w:hAnsiTheme="minorHAnsi"/>
          <w:sz w:val="22"/>
          <w:szCs w:val="22"/>
        </w:rPr>
        <w:t>)</w:t>
      </w:r>
    </w:p>
    <w:p w:rsidR="00B745D8" w:rsidRPr="001024DE" w:rsidRDefault="00B745D8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745D8" w:rsidRPr="001024DE" w:rsidRDefault="00B745D8" w:rsidP="001024D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745D8" w:rsidRPr="001024DE" w:rsidRDefault="00B745D8" w:rsidP="001024DE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sectPr w:rsidR="00B745D8" w:rsidRPr="001024DE" w:rsidSect="00A8365A">
      <w:pgSz w:w="11906" w:h="16838"/>
      <w:pgMar w:top="719" w:right="926" w:bottom="70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47165"/>
    <w:multiLevelType w:val="hybridMultilevel"/>
    <w:tmpl w:val="B3348234"/>
    <w:lvl w:ilvl="0" w:tplc="B39AAFEE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BB5D44"/>
    <w:multiLevelType w:val="hybridMultilevel"/>
    <w:tmpl w:val="216ED3A4"/>
    <w:lvl w:ilvl="0" w:tplc="106082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A30628"/>
    <w:multiLevelType w:val="hybridMultilevel"/>
    <w:tmpl w:val="D8C0F456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F736188"/>
    <w:multiLevelType w:val="hybridMultilevel"/>
    <w:tmpl w:val="E2266E1E"/>
    <w:lvl w:ilvl="0" w:tplc="F77CE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447232"/>
    <w:multiLevelType w:val="hybridMultilevel"/>
    <w:tmpl w:val="6D7A48C6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A6584D"/>
    <w:rsid w:val="00055BCF"/>
    <w:rsid w:val="000B64B7"/>
    <w:rsid w:val="001024DE"/>
    <w:rsid w:val="0028619F"/>
    <w:rsid w:val="00433134"/>
    <w:rsid w:val="00452EDD"/>
    <w:rsid w:val="007B21E7"/>
    <w:rsid w:val="008C653F"/>
    <w:rsid w:val="00920FD1"/>
    <w:rsid w:val="009355B4"/>
    <w:rsid w:val="0099054B"/>
    <w:rsid w:val="00A6584D"/>
    <w:rsid w:val="00A8365A"/>
    <w:rsid w:val="00AD4620"/>
    <w:rsid w:val="00B178B9"/>
    <w:rsid w:val="00B745D8"/>
    <w:rsid w:val="00C42DA1"/>
    <w:rsid w:val="00D43F35"/>
    <w:rsid w:val="00E2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55B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0B64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419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anxyolitiques</vt:lpstr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anxyolitiques</dc:title>
  <dc:creator>megh</dc:creator>
  <cp:lastModifiedBy>Lebane</cp:lastModifiedBy>
  <cp:revision>5</cp:revision>
  <dcterms:created xsi:type="dcterms:W3CDTF">2010-04-14T11:55:00Z</dcterms:created>
  <dcterms:modified xsi:type="dcterms:W3CDTF">2010-04-15T14:48:00Z</dcterms:modified>
</cp:coreProperties>
</file>