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2A9" w:rsidRPr="00E6542A" w:rsidRDefault="006E52A9" w:rsidP="006E52A9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Résumé </w:t>
      </w:r>
      <w:r w:rsidRPr="00E6542A">
        <w:rPr>
          <w:b/>
          <w:bCs/>
          <w:color w:val="FF0000"/>
          <w:sz w:val="24"/>
          <w:szCs w:val="24"/>
        </w:rPr>
        <w:t>Paludisme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 xml:space="preserve">Erythrocytopathie endémo-épidémique à </w:t>
      </w:r>
      <w:r w:rsidRPr="009160BB">
        <w:rPr>
          <w:highlight w:val="yellow"/>
        </w:rPr>
        <w:t>déclaration obligatoire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Plus fréquente des parasitoses, réservoir : Homme, vecteur : Anophèle femelle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Plasmodium vivax en Algérie : fièvre tierce bénigne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Plasmodium ovale : fièvre tierce bénigne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Plasmodium falciparum est le plus dangereux : fièvre tierce maligne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 xml:space="preserve">Plasmodium </w:t>
      </w:r>
      <w:proofErr w:type="spellStart"/>
      <w:r>
        <w:t>malariae</w:t>
      </w:r>
      <w:proofErr w:type="spellEnd"/>
      <w:r>
        <w:t> : fièvre quatre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Transmission sanguine et transplacentaire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Pas d’immunité naturelle ni acquise</w:t>
      </w:r>
    </w:p>
    <w:p w:rsidR="006E52A9" w:rsidRPr="00D17FE7" w:rsidRDefault="006E52A9" w:rsidP="006E52A9">
      <w:pPr>
        <w:rPr>
          <w:color w:val="FF0000"/>
          <w:u w:val="single"/>
        </w:rPr>
      </w:pPr>
      <w:r w:rsidRPr="00D17FE7">
        <w:rPr>
          <w:color w:val="FF0000"/>
          <w:u w:val="single"/>
        </w:rPr>
        <w:t>Plasmodium vivax : accès palustre (3 stades)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 w:rsidRPr="00D17FE7">
        <w:rPr>
          <w:highlight w:val="yellow"/>
        </w:rPr>
        <w:t>Stade de frisson</w:t>
      </w:r>
      <w:r>
        <w:t> 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 w:rsidRPr="006E52A9">
        <w:rPr>
          <w:highlight w:val="yellow"/>
        </w:rPr>
        <w:t>Stade de fièvre</w:t>
      </w:r>
      <w:r>
        <w:t> 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 w:rsidRPr="006E52A9">
        <w:rPr>
          <w:highlight w:val="yellow"/>
        </w:rPr>
        <w:t>Stade de sueur</w:t>
      </w:r>
      <w:r>
        <w:t> </w:t>
      </w:r>
    </w:p>
    <w:p w:rsidR="006E57CF" w:rsidRDefault="006E52A9" w:rsidP="006E57CF">
      <w:pPr>
        <w:pStyle w:val="Paragraphedeliste"/>
        <w:numPr>
          <w:ilvl w:val="0"/>
          <w:numId w:val="1"/>
        </w:numPr>
      </w:pPr>
      <w:r>
        <w:t xml:space="preserve">Ces accès se réalisent tous les 2 j = </w:t>
      </w:r>
      <w:r w:rsidRPr="006E57CF">
        <w:rPr>
          <w:highlight w:val="yellow"/>
        </w:rPr>
        <w:t>fièvre tierce bénigne</w:t>
      </w:r>
      <w:r>
        <w:t xml:space="preserve"> </w:t>
      </w:r>
    </w:p>
    <w:p w:rsidR="006E52A9" w:rsidRDefault="006E52A9" w:rsidP="006E57CF">
      <w:pPr>
        <w:pStyle w:val="Paragraphedeliste"/>
        <w:numPr>
          <w:ilvl w:val="0"/>
          <w:numId w:val="1"/>
        </w:numPr>
      </w:pPr>
      <w:r>
        <w:t xml:space="preserve">S. accompagnateurs : Pâleur C/M – subictère conjonctival – herpes NL – </w:t>
      </w:r>
      <w:r w:rsidRPr="00647782">
        <w:rPr>
          <w:highlight w:val="yellow"/>
        </w:rPr>
        <w:t>HPM – SPM</w:t>
      </w:r>
      <w:r>
        <w:t xml:space="preserve"> 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Sous TRT : guérison sans immunité</w:t>
      </w:r>
    </w:p>
    <w:p w:rsidR="00647782" w:rsidRDefault="006E52A9" w:rsidP="006E57CF">
      <w:pPr>
        <w:pStyle w:val="Paragraphedeliste"/>
        <w:numPr>
          <w:ilvl w:val="0"/>
          <w:numId w:val="1"/>
        </w:numPr>
      </w:pPr>
      <w:r>
        <w:t xml:space="preserve">Sans TRT : Si le patient quitte le pays d’endémie : rechute tous les 3à5 ans. </w:t>
      </w:r>
    </w:p>
    <w:p w:rsidR="006E52A9" w:rsidRDefault="006E52A9" w:rsidP="006E57CF">
      <w:pPr>
        <w:pStyle w:val="Paragraphedeliste"/>
        <w:numPr>
          <w:ilvl w:val="0"/>
          <w:numId w:val="1"/>
        </w:numPr>
      </w:pPr>
      <w:r>
        <w:t>Si le patient reste dans le pays endé</w:t>
      </w:r>
      <w:r w:rsidR="006E57CF">
        <w:t>mique sans chimio prophylaxie</w:t>
      </w:r>
      <w:r w:rsidR="00647782">
        <w:t> :</w:t>
      </w:r>
      <w:r w:rsidR="006E57CF">
        <w:t> </w:t>
      </w:r>
      <w:r>
        <w:t>(paludisme viscéral évolutif)</w:t>
      </w:r>
    </w:p>
    <w:p w:rsidR="006E52A9" w:rsidRDefault="006E52A9" w:rsidP="006E52A9">
      <w:pPr>
        <w:rPr>
          <w:color w:val="FF0000"/>
          <w:u w:val="single"/>
        </w:rPr>
      </w:pPr>
      <w:r w:rsidRPr="00D17FE7">
        <w:rPr>
          <w:color w:val="FF0000"/>
          <w:u w:val="single"/>
        </w:rPr>
        <w:t>Plasmodium falciparum :</w:t>
      </w:r>
    </w:p>
    <w:p w:rsidR="006E52A9" w:rsidRPr="006E57CF" w:rsidRDefault="006E52A9" w:rsidP="006E57CF">
      <w:pPr>
        <w:pStyle w:val="Paragraphedeliste"/>
        <w:numPr>
          <w:ilvl w:val="0"/>
          <w:numId w:val="2"/>
        </w:numPr>
        <w:rPr>
          <w:color w:val="002060"/>
          <w:u w:val="single"/>
        </w:rPr>
      </w:pPr>
      <w:r w:rsidRPr="00B43A66">
        <w:rPr>
          <w:color w:val="002060"/>
          <w:u w:val="single"/>
        </w:rPr>
        <w:t xml:space="preserve">Accès palustre simple : </w:t>
      </w:r>
      <w:r>
        <w:t>risque d’évolution vers le paludisme pernicieux</w:t>
      </w:r>
    </w:p>
    <w:p w:rsidR="006E52A9" w:rsidRDefault="006E52A9" w:rsidP="006E52A9">
      <w:pPr>
        <w:pStyle w:val="Paragraphedeliste"/>
      </w:pPr>
    </w:p>
    <w:p w:rsidR="006E52A9" w:rsidRPr="00B43A66" w:rsidRDefault="006E52A9" w:rsidP="006E52A9">
      <w:pPr>
        <w:pStyle w:val="Paragraphedeliste"/>
        <w:numPr>
          <w:ilvl w:val="0"/>
          <w:numId w:val="2"/>
        </w:numPr>
        <w:rPr>
          <w:color w:val="002060"/>
          <w:u w:val="single"/>
        </w:rPr>
      </w:pPr>
      <w:r w:rsidRPr="00B43A66">
        <w:rPr>
          <w:color w:val="002060"/>
          <w:u w:val="single"/>
        </w:rPr>
        <w:t xml:space="preserve">fièvre rémittente : 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 xml:space="preserve">forme plus grave avec ictère, syndrome algique, digestif, fièvre 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évolution sans traitement -&gt; paludisme viscérale évolutif</w:t>
      </w:r>
    </w:p>
    <w:p w:rsidR="006E52A9" w:rsidRDefault="006E52A9" w:rsidP="006E52A9">
      <w:pPr>
        <w:pStyle w:val="Paragraphedeliste"/>
      </w:pPr>
    </w:p>
    <w:p w:rsidR="006E52A9" w:rsidRPr="00027FAA" w:rsidRDefault="006E52A9" w:rsidP="00027FAA">
      <w:pPr>
        <w:pStyle w:val="Paragraphedeliste"/>
        <w:numPr>
          <w:ilvl w:val="0"/>
          <w:numId w:val="2"/>
        </w:numPr>
        <w:rPr>
          <w:color w:val="002060"/>
          <w:u w:val="single"/>
        </w:rPr>
      </w:pPr>
      <w:r w:rsidRPr="00B43A66">
        <w:rPr>
          <w:color w:val="002060"/>
          <w:u w:val="single"/>
        </w:rPr>
        <w:t>paludisme pernicieux (neuro-paludisme)</w:t>
      </w:r>
      <w:r w:rsidR="00027FAA">
        <w:rPr>
          <w:color w:val="002060"/>
          <w:u w:val="single"/>
        </w:rPr>
        <w:t xml:space="preserve"> </w:t>
      </w:r>
      <w:r w:rsidRPr="00027FAA">
        <w:rPr>
          <w:highlight w:val="yellow"/>
        </w:rPr>
        <w:t>urgence médicale</w:t>
      </w:r>
      <w:r>
        <w:t xml:space="preserve"> </w:t>
      </w:r>
    </w:p>
    <w:p w:rsidR="006E52A9" w:rsidRDefault="006E52A9" w:rsidP="006E57CF">
      <w:pPr>
        <w:pStyle w:val="Paragraphedeliste"/>
        <w:numPr>
          <w:ilvl w:val="0"/>
          <w:numId w:val="1"/>
        </w:numPr>
      </w:pPr>
      <w:r>
        <w:t xml:space="preserve"> </w:t>
      </w:r>
      <w:r w:rsidRPr="00CD09CC">
        <w:rPr>
          <w:highlight w:val="yellow"/>
        </w:rPr>
        <w:t>encéphalopathie aigue fébrile avec atteinte poly viscérale</w:t>
      </w:r>
      <w:r w:rsidR="006E57CF">
        <w:t> </w:t>
      </w:r>
    </w:p>
    <w:p w:rsidR="006E52A9" w:rsidRDefault="006E52A9" w:rsidP="006E52A9">
      <w:pPr>
        <w:pStyle w:val="Paragraphedeliste"/>
        <w:numPr>
          <w:ilvl w:val="0"/>
          <w:numId w:val="1"/>
        </w:numPr>
        <w:ind w:left="360"/>
      </w:pPr>
      <w:r>
        <w:t>Subictère, SPM, HPM</w:t>
      </w:r>
    </w:p>
    <w:p w:rsidR="006E52A9" w:rsidRDefault="006E52A9" w:rsidP="006E52A9">
      <w:pPr>
        <w:pStyle w:val="Paragraphedeliste"/>
        <w:numPr>
          <w:ilvl w:val="0"/>
          <w:numId w:val="1"/>
        </w:numPr>
        <w:ind w:left="360"/>
      </w:pPr>
      <w:r>
        <w:t>Evolution spontanée fatale : collapsus, OAP, syndrome hémorragique</w:t>
      </w:r>
    </w:p>
    <w:p w:rsidR="006E52A9" w:rsidRDefault="006E52A9" w:rsidP="006E52A9">
      <w:pPr>
        <w:pStyle w:val="Paragraphedeliste"/>
        <w:ind w:left="360"/>
      </w:pPr>
    </w:p>
    <w:p w:rsidR="006E52A9" w:rsidRPr="006E52A9" w:rsidRDefault="006E52A9" w:rsidP="006E52A9">
      <w:pPr>
        <w:pStyle w:val="Paragraphedeliste"/>
        <w:numPr>
          <w:ilvl w:val="0"/>
          <w:numId w:val="2"/>
        </w:numPr>
        <w:rPr>
          <w:color w:val="002060"/>
          <w:u w:val="single"/>
        </w:rPr>
      </w:pPr>
      <w:r w:rsidRPr="006E52A9">
        <w:rPr>
          <w:color w:val="002060"/>
          <w:u w:val="single"/>
        </w:rPr>
        <w:t>paludisme viscérale évolutif :</w:t>
      </w:r>
    </w:p>
    <w:p w:rsidR="006E52A9" w:rsidRPr="00D15470" w:rsidRDefault="006E52A9" w:rsidP="006E52A9">
      <w:pPr>
        <w:pStyle w:val="Paragraphedeliste"/>
        <w:numPr>
          <w:ilvl w:val="0"/>
          <w:numId w:val="1"/>
        </w:numPr>
        <w:rPr>
          <w:highlight w:val="yellow"/>
        </w:rPr>
      </w:pPr>
      <w:r w:rsidRPr="00D15470">
        <w:rPr>
          <w:highlight w:val="yellow"/>
        </w:rPr>
        <w:t>Secondaire à P. vivax et falciparum</w:t>
      </w:r>
      <w:r w:rsidR="00D15470">
        <w:t xml:space="preserve"> : </w:t>
      </w:r>
      <w:r>
        <w:t>F</w:t>
      </w:r>
      <w:r w:rsidR="00027FAA">
        <w:t>ébricule, HPM, SPM</w:t>
      </w:r>
      <w:r w:rsidR="00D15470">
        <w:t xml:space="preserve"> </w:t>
      </w:r>
      <w:r w:rsidR="00647782">
        <w:t>–</w:t>
      </w:r>
      <w:r w:rsidR="00D15470">
        <w:t xml:space="preserve"> </w:t>
      </w:r>
      <w:proofErr w:type="spellStart"/>
      <w:r w:rsidRPr="00D15470">
        <w:rPr>
          <w:highlight w:val="yellow"/>
        </w:rPr>
        <w:t>Pancytopénie</w:t>
      </w:r>
      <w:proofErr w:type="spellEnd"/>
      <w:r w:rsidR="00647782">
        <w:rPr>
          <w:highlight w:val="yellow"/>
        </w:rPr>
        <w:t xml:space="preserve"> – Décès </w:t>
      </w:r>
    </w:p>
    <w:p w:rsidR="006E52A9" w:rsidRPr="00B43A66" w:rsidRDefault="006E52A9" w:rsidP="006E52A9">
      <w:pPr>
        <w:rPr>
          <w:b/>
          <w:bCs/>
        </w:rPr>
      </w:pPr>
      <w:r>
        <w:rPr>
          <w:b/>
          <w:bCs/>
        </w:rPr>
        <w:t>B</w:t>
      </w:r>
      <w:r w:rsidRPr="00B43A66">
        <w:rPr>
          <w:b/>
          <w:bCs/>
        </w:rPr>
        <w:t>iologie :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 xml:space="preserve">Hyperleucocytose sans hyper-éosinophilie, anémie hémolytique  </w:t>
      </w:r>
    </w:p>
    <w:p w:rsidR="006E52A9" w:rsidRPr="00CD09CC" w:rsidRDefault="006E52A9" w:rsidP="006E52A9">
      <w:pPr>
        <w:pStyle w:val="Paragraphedeliste"/>
        <w:numPr>
          <w:ilvl w:val="0"/>
          <w:numId w:val="1"/>
        </w:numPr>
        <w:rPr>
          <w:highlight w:val="yellow"/>
        </w:rPr>
      </w:pPr>
      <w:r w:rsidRPr="00CD09CC">
        <w:rPr>
          <w:highlight w:val="yellow"/>
        </w:rPr>
        <w:t xml:space="preserve">frottis sanguin couplé à la goutte épaisse   </w:t>
      </w:r>
    </w:p>
    <w:p w:rsidR="006E52A9" w:rsidRPr="00B43A66" w:rsidRDefault="006E52A9" w:rsidP="006E52A9">
      <w:pPr>
        <w:rPr>
          <w:b/>
          <w:bCs/>
        </w:rPr>
      </w:pPr>
      <w:r w:rsidRPr="00B43A66">
        <w:rPr>
          <w:b/>
          <w:bCs/>
        </w:rPr>
        <w:t xml:space="preserve">Traitement : </w:t>
      </w:r>
    </w:p>
    <w:p w:rsidR="00D15470" w:rsidRDefault="006E52A9" w:rsidP="006E52A9">
      <w:pPr>
        <w:pStyle w:val="Paragraphedeliste"/>
        <w:numPr>
          <w:ilvl w:val="0"/>
          <w:numId w:val="1"/>
        </w:numPr>
      </w:pPr>
      <w:r>
        <w:t>accès simple chl</w:t>
      </w:r>
      <w:r w:rsidR="00D15470">
        <w:t>oroquine-sensible: quinine /</w:t>
      </w:r>
      <w:r>
        <w:t xml:space="preserve">                       chloroquine-résistant : </w:t>
      </w:r>
      <w:proofErr w:type="spellStart"/>
      <w:r>
        <w:t>méfloquine</w:t>
      </w:r>
      <w:proofErr w:type="spellEnd"/>
      <w:r>
        <w:t xml:space="preserve"> accès pernicieux : quinine injectable </w:t>
      </w:r>
    </w:p>
    <w:p w:rsidR="006E52A9" w:rsidRDefault="006E52A9" w:rsidP="006E52A9">
      <w:pPr>
        <w:pStyle w:val="Paragraphedeliste"/>
        <w:numPr>
          <w:ilvl w:val="0"/>
          <w:numId w:val="1"/>
        </w:numPr>
      </w:pPr>
      <w:r>
        <w:t>traitement symptomatique</w:t>
      </w:r>
      <w:r w:rsidR="00D15470">
        <w:t> </w:t>
      </w:r>
    </w:p>
    <w:p w:rsidR="005214E5" w:rsidRDefault="006E52A9" w:rsidP="00D15470">
      <w:pPr>
        <w:pStyle w:val="Paragraphedeliste"/>
        <w:numPr>
          <w:ilvl w:val="0"/>
          <w:numId w:val="1"/>
        </w:numPr>
        <w:ind w:left="360"/>
      </w:pPr>
      <w:r>
        <w:t xml:space="preserve">traitement prophylactique en cas de voyage en zones d’endémie </w:t>
      </w:r>
    </w:p>
    <w:sectPr w:rsidR="005214E5" w:rsidSect="00CD09CC">
      <w:pgSz w:w="11906" w:h="16838"/>
      <w:pgMar w:top="1134" w:right="1133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3FE"/>
    <w:multiLevelType w:val="hybridMultilevel"/>
    <w:tmpl w:val="30F6B320"/>
    <w:lvl w:ilvl="0" w:tplc="F69A1E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7C2A71"/>
    <w:multiLevelType w:val="hybridMultilevel"/>
    <w:tmpl w:val="0BC4D4D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E52A9"/>
    <w:rsid w:val="000269D5"/>
    <w:rsid w:val="00027FAA"/>
    <w:rsid w:val="003F1BF1"/>
    <w:rsid w:val="004830B4"/>
    <w:rsid w:val="00515119"/>
    <w:rsid w:val="005214E5"/>
    <w:rsid w:val="00547338"/>
    <w:rsid w:val="00647782"/>
    <w:rsid w:val="006E52A9"/>
    <w:rsid w:val="006E57CF"/>
    <w:rsid w:val="00D15470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2A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52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2010-01-17T16:52:00Z</dcterms:created>
  <dcterms:modified xsi:type="dcterms:W3CDTF">2010-01-17T17:30:00Z</dcterms:modified>
</cp:coreProperties>
</file>