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DE0C73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DE0C73">
        <w:rPr>
          <w:rFonts w:ascii="Book Antiqua" w:hAnsi="Book Antiqua"/>
          <w:b/>
          <w:bCs/>
          <w:color w:val="0070C0"/>
          <w:sz w:val="48"/>
          <w:szCs w:val="48"/>
        </w:rPr>
        <w:t xml:space="preserve">l’endométriose </w:t>
      </w:r>
      <w:r w:rsidR="00014371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lastRenderedPageBreak/>
        <w:t>1- Une endométriose externe peut être évoquée devant :</w:t>
      </w:r>
    </w:p>
    <w:p w:rsid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A </w:t>
      </w:r>
      <w:r>
        <w:rPr>
          <w:rFonts w:ascii="Tahoma" w:hAnsi="Tahoma" w:cs="Tahoma"/>
          <w:sz w:val="20"/>
          <w:szCs w:val="20"/>
        </w:rPr>
        <w:t>–</w:t>
      </w:r>
      <w:r w:rsidRPr="00DE0C73">
        <w:rPr>
          <w:rFonts w:ascii="Tahoma" w:hAnsi="Tahoma" w:cs="Tahoma"/>
          <w:sz w:val="20"/>
          <w:szCs w:val="20"/>
        </w:rPr>
        <w:t xml:space="preserve"> Métrorragie</w:t>
      </w:r>
      <w:r>
        <w:rPr>
          <w:rFonts w:ascii="Tahoma" w:hAnsi="Tahoma" w:cs="Tahoma"/>
          <w:sz w:val="20"/>
          <w:szCs w:val="20"/>
        </w:rPr>
        <w:tab/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B - Dyspareunie orificielle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C - Dyspareunie profonde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D - Dysménorrhée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E - Syndrome prémenstruel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>2- Une endométriose génitale peut être traitée efficacement par :</w:t>
      </w:r>
    </w:p>
    <w:p w:rsid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A - Bêta-mimétique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B - Estrogène pur</w:t>
      </w:r>
    </w:p>
    <w:p w:rsid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C - Progestatif pur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D - Danazol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E - Castration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>3- Parmi les propositions suivantes concernant la coelioscopie pour endométriose, l'une est inexacte :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A - les biopsies ne sont pas nécessaires si les lésions macroscopiques sont typiques d’endométriose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B - un traitement incomplet expose au risque de récidive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C - un traitement médical préopératoire peut augmenter les chances de réussite chirurgicale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D - le drainage simple des endométriomes est insuffisant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E - le traitement du nodule rectovaginal nécessite une prise en charge multidisciplinaire</w:t>
      </w:r>
    </w:p>
    <w:p w:rsid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>4- L’endométriose peut être une des indications des agonistes de la GnRH:</w:t>
      </w:r>
    </w:p>
    <w:p w:rsid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A - Vrai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B - Faux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>5- L’indication des agonistes de la GnRH dans le cadre d’une endométriose diagnostiquée :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A - est de première intention chez une patiente algique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B - peut être portée dans le cadre d’adénomyose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C - peut être associée à un geste chirurgical dans le cadre d’une assistance médicale à la procréation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D - est possible en postopératoire et préassistance médicale à la procréation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E - cette théarapie n'est jamais indiquée dans le cadre d'une endométriose.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>6- L’endométriose :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A - se définit comme la présence de myomètre dans le pelvis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B - touche 1 % des femmes en âge de procréer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C - peut être responsable de dyspareunies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D - s’accompagne toujours de dysménorrhée et d’infertilité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lastRenderedPageBreak/>
        <w:t>E - est favorisée par des règles faibles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>7- Les implants d’endométriose péritonéale :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A - se localisent le plus souvent du côté droit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B - évoluent sous l’influence des hormones sexuelles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C - peuvent pénétrer sous le péritoine et occasionner des douleurs pelviennes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D - leur développement est influencé par certaines cytokines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E - sont capables de sécréter des hormones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>8- L’endométriose :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A - est plus fréquente chez les femmes infertiles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B - peut affecter la qualité ovocytaire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C - peut créer des adhérences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D - est responsable de douleurs dont la sévérité est liée à la taille de la lésion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E - peut infiltrer les nerfs sous-péritonéaux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>9- L’endométriose :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A - se transforme exceptionnellement en cancer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B - protège du cancer du sein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C - est associée à un risque plus élevé de cancer ovarien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D - est une pathologie bien comprise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E - ne récidive jamais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>10- Les dysménorrhées de l’endométriose :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A - apparaissent en début de menstruation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B - sont le mieux calmées par les anti-inflammatoires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C - n’existent pas chez les adolescentes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D - s’amenuisent avec le temps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E - aucune des propositions ci-dessus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 xml:space="preserve">11- Concernant l'endométriose quelle(s) est(sont) la(les) proposition(s) vraie(s) ?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A - Il s'agit d'une localisation ectopique de la muqueuse utérine.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B - L’échographie permet le diagnostic des implants endométriosique.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C - Les principaux symptômes : infertilité &amp; dysménorrhée.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D - La cœlioscopie permet le diagnostic , et ne permet pas le traitement.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E - Le principe du traitement repose sur la castration temporaire avec le decapeptyl.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 xml:space="preserve">12- Concernant l'endométriose quelle(s) est(sont) la(les) proposition(s) vraie(s) ?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A - Il s'agit d'une localisation eutopique de la muqueuse utérine.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B - L’IRM est actuellement capitale dans le diagnostic.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C - Les principaux symptômes : infertilité &amp; algies pelviennes.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lastRenderedPageBreak/>
        <w:t xml:space="preserve">D - L'hystroscopie permet le diagnostic.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E - Le principe du traitement repose sur le blocage chimique de l'axe.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DE0C73">
        <w:rPr>
          <w:rFonts w:ascii="Tahoma" w:hAnsi="Tahoma" w:cs="Tahoma"/>
          <w:b/>
          <w:bCs/>
          <w:sz w:val="20"/>
          <w:szCs w:val="20"/>
        </w:rPr>
        <w:t xml:space="preserve">13- Concernant l'endométriose quelle(s) est(sont) la(les) proposition(s) vraie(s) ?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A - Il s'agit d'une localisation ectopique de la muqueuse utérine.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B - Elle siège préférentiellement en niveau du cul-de-sac vaginal.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C - Les principaux symptômes : infertilité &amp; algies pelviennes. </w:t>
      </w:r>
    </w:p>
    <w:p w:rsidR="00DE0C73" w:rsidRPr="00DE0C73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 xml:space="preserve">D - La cœlioscopie permet le traitement de certaines lésions </w:t>
      </w:r>
    </w:p>
    <w:p w:rsidR="00E62066" w:rsidRDefault="00DE0C73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DE0C73">
        <w:rPr>
          <w:rFonts w:ascii="Tahoma" w:hAnsi="Tahoma" w:cs="Tahoma"/>
          <w:sz w:val="20"/>
          <w:szCs w:val="20"/>
        </w:rPr>
        <w:t>E - Le principe du traitement repose sur la castration temporaire.</w:t>
      </w: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Pr="00803402" w:rsidRDefault="00803402" w:rsidP="00803402">
      <w:pPr>
        <w:pStyle w:val="Paragraphedeliste"/>
        <w:spacing w:after="0"/>
        <w:ind w:left="2832"/>
        <w:rPr>
          <w:rFonts w:ascii="Tahoma" w:hAnsi="Tahoma" w:cs="Tahoma"/>
          <w:b/>
          <w:bCs/>
          <w:sz w:val="20"/>
          <w:szCs w:val="20"/>
          <w:u w:val="single"/>
        </w:rPr>
      </w:pPr>
      <w:r w:rsidRPr="00803402">
        <w:rPr>
          <w:rFonts w:ascii="Tahoma" w:hAnsi="Tahoma" w:cs="Tahoma"/>
          <w:b/>
          <w:bCs/>
          <w:sz w:val="20"/>
          <w:szCs w:val="20"/>
          <w:u w:val="single"/>
        </w:rPr>
        <w:t xml:space="preserve">Réponses :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1- ABCD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2- CDE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3- A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4- A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5- BCD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6- C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7- BCDE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8- ABCE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9- AC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10- E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11- ACE </w:t>
      </w:r>
    </w:p>
    <w:p w:rsidR="00803402" w:rsidRPr="00803402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 xml:space="preserve">12- BCE </w:t>
      </w:r>
    </w:p>
    <w:p w:rsidR="00803402" w:rsidRPr="00DE0C73" w:rsidRDefault="00803402" w:rsidP="00803402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803402">
        <w:rPr>
          <w:rFonts w:ascii="Tahoma" w:hAnsi="Tahoma" w:cs="Tahoma"/>
          <w:sz w:val="20"/>
          <w:szCs w:val="20"/>
        </w:rPr>
        <w:t>13- ACDE</w:t>
      </w:r>
    </w:p>
    <w:sectPr w:rsidR="00803402" w:rsidRPr="00DE0C73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E45" w:rsidRDefault="00E30E45" w:rsidP="00863C1D">
      <w:pPr>
        <w:spacing w:after="0" w:line="240" w:lineRule="auto"/>
      </w:pPr>
      <w:r>
        <w:separator/>
      </w:r>
    </w:p>
  </w:endnote>
  <w:endnote w:type="continuationSeparator" w:id="0">
    <w:p w:rsidR="00E30E45" w:rsidRDefault="00E30E45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E30E45" w:rsidRPr="00E30E45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E45" w:rsidRDefault="00E30E45" w:rsidP="00863C1D">
      <w:pPr>
        <w:spacing w:after="0" w:line="240" w:lineRule="auto"/>
      </w:pPr>
      <w:r>
        <w:separator/>
      </w:r>
    </w:p>
  </w:footnote>
  <w:footnote w:type="continuationSeparator" w:id="0">
    <w:p w:rsidR="00E30E45" w:rsidRDefault="00E30E45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3D38F5"/>
    <w:multiLevelType w:val="hybridMultilevel"/>
    <w:tmpl w:val="D0BC32B2"/>
    <w:lvl w:ilvl="0" w:tplc="F2EC075C">
      <w:start w:val="19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9"/>
  </w:num>
  <w:num w:numId="5">
    <w:abstractNumId w:val="13"/>
  </w:num>
  <w:num w:numId="6">
    <w:abstractNumId w:val="0"/>
  </w:num>
  <w:num w:numId="7">
    <w:abstractNumId w:val="3"/>
  </w:num>
  <w:num w:numId="8">
    <w:abstractNumId w:val="8"/>
  </w:num>
  <w:num w:numId="9">
    <w:abstractNumId w:val="14"/>
  </w:num>
  <w:num w:numId="10">
    <w:abstractNumId w:val="5"/>
  </w:num>
  <w:num w:numId="11">
    <w:abstractNumId w:val="15"/>
  </w:num>
  <w:num w:numId="12">
    <w:abstractNumId w:val="2"/>
  </w:num>
  <w:num w:numId="13">
    <w:abstractNumId w:val="16"/>
  </w:num>
  <w:num w:numId="14">
    <w:abstractNumId w:val="10"/>
  </w:num>
  <w:num w:numId="15">
    <w:abstractNumId w:val="6"/>
  </w:num>
  <w:num w:numId="16">
    <w:abstractNumId w:val="17"/>
  </w:num>
  <w:num w:numId="17">
    <w:abstractNumId w:val="1"/>
  </w:num>
  <w:num w:numId="18">
    <w:abstractNumId w:val="19"/>
  </w:num>
  <w:num w:numId="19">
    <w:abstractNumId w:val="4"/>
  </w:num>
  <w:num w:numId="20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14371"/>
    <w:rsid w:val="00021BCF"/>
    <w:rsid w:val="00023DD1"/>
    <w:rsid w:val="0003194A"/>
    <w:rsid w:val="000350B2"/>
    <w:rsid w:val="00053DC5"/>
    <w:rsid w:val="00060BA3"/>
    <w:rsid w:val="00076886"/>
    <w:rsid w:val="00084C5E"/>
    <w:rsid w:val="00096661"/>
    <w:rsid w:val="000C41BB"/>
    <w:rsid w:val="00116452"/>
    <w:rsid w:val="001403AB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2C5B17"/>
    <w:rsid w:val="00320848"/>
    <w:rsid w:val="00336B18"/>
    <w:rsid w:val="003861AD"/>
    <w:rsid w:val="00391E04"/>
    <w:rsid w:val="00420BA3"/>
    <w:rsid w:val="00455B74"/>
    <w:rsid w:val="004773BC"/>
    <w:rsid w:val="004A0F9E"/>
    <w:rsid w:val="00511E34"/>
    <w:rsid w:val="0052620E"/>
    <w:rsid w:val="00535189"/>
    <w:rsid w:val="00573B43"/>
    <w:rsid w:val="00576BD9"/>
    <w:rsid w:val="005805A8"/>
    <w:rsid w:val="005F478A"/>
    <w:rsid w:val="005F5BBC"/>
    <w:rsid w:val="00610126"/>
    <w:rsid w:val="006178D1"/>
    <w:rsid w:val="00661ABF"/>
    <w:rsid w:val="0067259E"/>
    <w:rsid w:val="00674939"/>
    <w:rsid w:val="00685928"/>
    <w:rsid w:val="00696B27"/>
    <w:rsid w:val="006E20A1"/>
    <w:rsid w:val="0079788E"/>
    <w:rsid w:val="007C2085"/>
    <w:rsid w:val="007D510E"/>
    <w:rsid w:val="00803402"/>
    <w:rsid w:val="008409C6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55D74"/>
    <w:rsid w:val="00A63F7A"/>
    <w:rsid w:val="00A67D31"/>
    <w:rsid w:val="00A749AB"/>
    <w:rsid w:val="00A9099B"/>
    <w:rsid w:val="00AA7A56"/>
    <w:rsid w:val="00AB3719"/>
    <w:rsid w:val="00B32852"/>
    <w:rsid w:val="00B347BD"/>
    <w:rsid w:val="00B35C40"/>
    <w:rsid w:val="00B53CCA"/>
    <w:rsid w:val="00BA1D80"/>
    <w:rsid w:val="00BA5B49"/>
    <w:rsid w:val="00BC5A9C"/>
    <w:rsid w:val="00BE0DF5"/>
    <w:rsid w:val="00C15ABD"/>
    <w:rsid w:val="00C66D6A"/>
    <w:rsid w:val="00C7082F"/>
    <w:rsid w:val="00C71F34"/>
    <w:rsid w:val="00C76B91"/>
    <w:rsid w:val="00C8478C"/>
    <w:rsid w:val="00CC2D8C"/>
    <w:rsid w:val="00CC4797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DE0C73"/>
    <w:rsid w:val="00E002F0"/>
    <w:rsid w:val="00E017FC"/>
    <w:rsid w:val="00E04A41"/>
    <w:rsid w:val="00E052E7"/>
    <w:rsid w:val="00E30B1E"/>
    <w:rsid w:val="00E30E45"/>
    <w:rsid w:val="00E55294"/>
    <w:rsid w:val="00E62066"/>
    <w:rsid w:val="00E646FD"/>
    <w:rsid w:val="00E74A15"/>
    <w:rsid w:val="00E76238"/>
    <w:rsid w:val="00E97A12"/>
    <w:rsid w:val="00EB7016"/>
    <w:rsid w:val="00ED491D"/>
    <w:rsid w:val="00F14EF0"/>
    <w:rsid w:val="00F20854"/>
    <w:rsid w:val="00F334B1"/>
    <w:rsid w:val="00F65110"/>
    <w:rsid w:val="00F842D7"/>
    <w:rsid w:val="00FA12E9"/>
    <w:rsid w:val="00FC6A0D"/>
    <w:rsid w:val="00FD2C2A"/>
    <w:rsid w:val="00FD74EF"/>
    <w:rsid w:val="00FD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C53ED-CF3E-4904-8A44-0F8D213E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629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3</cp:revision>
  <cp:lastPrinted>2015-06-12T21:30:00Z</cp:lastPrinted>
  <dcterms:created xsi:type="dcterms:W3CDTF">2015-06-16T16:54:00Z</dcterms:created>
  <dcterms:modified xsi:type="dcterms:W3CDTF">2015-06-16T17:04:00Z</dcterms:modified>
</cp:coreProperties>
</file>